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87074A" w14:textId="54D9C51F" w:rsidR="00EF4DFB" w:rsidRDefault="00EF4DFB" w:rsidP="00EF4DFB">
      <w:pPr>
        <w:widowControl w:val="0"/>
        <w:autoSpaceDE w:val="0"/>
        <w:autoSpaceDN w:val="0"/>
        <w:adjustRightInd w:val="0"/>
        <w:spacing w:after="240" w:line="280" w:lineRule="atLeast"/>
        <w:jc w:val="center"/>
        <w:rPr>
          <w:rFonts w:ascii="Times" w:hAnsi="Times" w:cs="Times"/>
          <w:color w:val="4472C4" w:themeColor="accent1"/>
          <w:sz w:val="28"/>
        </w:rPr>
      </w:pPr>
      <w:r w:rsidRPr="00EF4DFB">
        <w:rPr>
          <w:rFonts w:ascii="Times" w:hAnsi="Times" w:cs="Times"/>
          <w:color w:val="000000" w:themeColor="text1"/>
          <w:sz w:val="28"/>
          <w:highlight w:val="yellow"/>
        </w:rPr>
        <w:t>Academic Journal #1:</w:t>
      </w:r>
      <w:r w:rsidRPr="00EF4DFB">
        <w:rPr>
          <w:rFonts w:ascii="Times" w:hAnsi="Times" w:cs="Times"/>
          <w:color w:val="000000" w:themeColor="text1"/>
          <w:sz w:val="28"/>
        </w:rPr>
        <w:t xml:space="preserve"> </w:t>
      </w:r>
      <w:r w:rsidRPr="00EF4DFB">
        <w:rPr>
          <w:rFonts w:ascii="Times" w:hAnsi="Times" w:cs="Times"/>
          <w:color w:val="4472C4" w:themeColor="accent1"/>
          <w:sz w:val="28"/>
        </w:rPr>
        <w:t>Historical, Sociopolitical, and Mental Health Implications of Forcible Separations in Young Migrant Latin American Children and Their Families</w:t>
      </w:r>
      <w:r w:rsidR="003B6658">
        <w:rPr>
          <w:rFonts w:ascii="Times" w:hAnsi="Times" w:cs="Times"/>
          <w:color w:val="4472C4" w:themeColor="accent1"/>
          <w:sz w:val="28"/>
        </w:rPr>
        <w:t xml:space="preserve"> (pages 8-17)</w:t>
      </w:r>
    </w:p>
    <w:p w14:paraId="111F9DF2" w14:textId="75D05E6A" w:rsidR="003B6658" w:rsidRPr="003B6658" w:rsidRDefault="003B6658" w:rsidP="003B6658">
      <w:pPr>
        <w:widowControl w:val="0"/>
        <w:autoSpaceDE w:val="0"/>
        <w:autoSpaceDN w:val="0"/>
        <w:adjustRightInd w:val="0"/>
        <w:spacing w:after="240" w:line="280" w:lineRule="atLeast"/>
        <w:jc w:val="center"/>
        <w:rPr>
          <w:rFonts w:ascii="Times" w:hAnsi="Times" w:cs="Times"/>
          <w:color w:val="4472C4" w:themeColor="accent1"/>
          <w:sz w:val="28"/>
        </w:rPr>
      </w:pPr>
      <w:r>
        <w:rPr>
          <w:rFonts w:ascii="Times" w:hAnsi="Times" w:cs="Times"/>
          <w:color w:val="4472C4" w:themeColor="accent1"/>
          <w:sz w:val="28"/>
        </w:rPr>
        <w:t xml:space="preserve">Carmen Rosa </w:t>
      </w:r>
      <w:proofErr w:type="spellStart"/>
      <w:r>
        <w:rPr>
          <w:rFonts w:ascii="Times" w:hAnsi="Times" w:cs="Times"/>
          <w:color w:val="4472C4" w:themeColor="accent1"/>
          <w:sz w:val="28"/>
        </w:rPr>
        <w:t>Noroña</w:t>
      </w:r>
      <w:proofErr w:type="spellEnd"/>
      <w:r>
        <w:rPr>
          <w:rFonts w:ascii="Times" w:hAnsi="Times" w:cs="Times"/>
          <w:color w:val="4472C4" w:themeColor="accent1"/>
          <w:sz w:val="28"/>
        </w:rPr>
        <w:t xml:space="preserve">: </w:t>
      </w:r>
      <w:r w:rsidRPr="003B6658">
        <w:rPr>
          <w:rFonts w:ascii="Times" w:hAnsi="Times" w:cs="Times"/>
          <w:color w:val="4472C4" w:themeColor="accent1"/>
          <w:sz w:val="28"/>
        </w:rPr>
        <w:t xml:space="preserve">Boston Medical Center-Child Witness to Violence Project Boston, Massachusetts </w:t>
      </w:r>
    </w:p>
    <w:p w14:paraId="2BFA519F" w14:textId="356CBA8F" w:rsidR="003B6658" w:rsidRPr="003B6658" w:rsidRDefault="003B6658" w:rsidP="003B6658">
      <w:pPr>
        <w:widowControl w:val="0"/>
        <w:autoSpaceDE w:val="0"/>
        <w:autoSpaceDN w:val="0"/>
        <w:adjustRightInd w:val="0"/>
        <w:spacing w:after="240" w:line="280" w:lineRule="atLeast"/>
        <w:jc w:val="center"/>
        <w:rPr>
          <w:rFonts w:ascii="Times" w:hAnsi="Times" w:cs="Times"/>
          <w:color w:val="4472C4" w:themeColor="accent1"/>
          <w:sz w:val="28"/>
        </w:rPr>
      </w:pPr>
      <w:r>
        <w:rPr>
          <w:rFonts w:ascii="Times" w:hAnsi="Times" w:cs="Times"/>
          <w:color w:val="4472C4" w:themeColor="accent1"/>
          <w:sz w:val="28"/>
        </w:rPr>
        <w:t xml:space="preserve">M. Carolina Velasco-Hodgson: </w:t>
      </w:r>
      <w:proofErr w:type="spellStart"/>
      <w:r w:rsidRPr="003B6658">
        <w:rPr>
          <w:rFonts w:ascii="Times" w:hAnsi="Times" w:cs="Times"/>
          <w:color w:val="4472C4" w:themeColor="accent1"/>
          <w:sz w:val="28"/>
        </w:rPr>
        <w:t>Pontificia</w:t>
      </w:r>
      <w:proofErr w:type="spellEnd"/>
      <w:r w:rsidRPr="003B6658">
        <w:rPr>
          <w:rFonts w:ascii="Times" w:hAnsi="Times" w:cs="Times"/>
          <w:color w:val="4472C4" w:themeColor="accent1"/>
          <w:sz w:val="28"/>
        </w:rPr>
        <w:t xml:space="preserve"> Universidad </w:t>
      </w:r>
      <w:proofErr w:type="spellStart"/>
      <w:r w:rsidRPr="003B6658">
        <w:rPr>
          <w:rFonts w:ascii="Times" w:hAnsi="Times" w:cs="Times"/>
          <w:color w:val="4472C4" w:themeColor="accent1"/>
          <w:sz w:val="28"/>
        </w:rPr>
        <w:t>Católica</w:t>
      </w:r>
      <w:proofErr w:type="spellEnd"/>
      <w:r w:rsidRPr="003B6658">
        <w:rPr>
          <w:rFonts w:ascii="Times" w:hAnsi="Times" w:cs="Times"/>
          <w:color w:val="4472C4" w:themeColor="accent1"/>
          <w:sz w:val="28"/>
        </w:rPr>
        <w:t xml:space="preserve"> de Chile </w:t>
      </w:r>
    </w:p>
    <w:p w14:paraId="2D7597E1" w14:textId="1BEDF6B0" w:rsidR="003B6658" w:rsidRPr="003B6658" w:rsidRDefault="003B6658" w:rsidP="003B6658">
      <w:pPr>
        <w:widowControl w:val="0"/>
        <w:autoSpaceDE w:val="0"/>
        <w:autoSpaceDN w:val="0"/>
        <w:adjustRightInd w:val="0"/>
        <w:spacing w:after="240" w:line="280" w:lineRule="atLeast"/>
        <w:jc w:val="center"/>
        <w:rPr>
          <w:rFonts w:ascii="Times" w:hAnsi="Times" w:cs="Times"/>
          <w:color w:val="4472C4" w:themeColor="accent1"/>
          <w:sz w:val="28"/>
        </w:rPr>
      </w:pPr>
      <w:r>
        <w:rPr>
          <w:rFonts w:ascii="Times" w:hAnsi="Times" w:cs="Times"/>
          <w:color w:val="4472C4" w:themeColor="accent1"/>
          <w:sz w:val="28"/>
        </w:rPr>
        <w:t xml:space="preserve">Luis E. Flores: </w:t>
      </w:r>
      <w:r w:rsidRPr="003B6658">
        <w:rPr>
          <w:rFonts w:ascii="Times" w:hAnsi="Times" w:cs="Times"/>
          <w:color w:val="4472C4" w:themeColor="accent1"/>
          <w:sz w:val="28"/>
        </w:rPr>
        <w:t xml:space="preserve">Serving Children and Adults in Need Inc. Laredo, Texas </w:t>
      </w:r>
    </w:p>
    <w:p w14:paraId="0ACD7035" w14:textId="77CB7F26" w:rsidR="003B6658" w:rsidRPr="003B6658" w:rsidRDefault="003B6658" w:rsidP="003B6658">
      <w:pPr>
        <w:widowControl w:val="0"/>
        <w:autoSpaceDE w:val="0"/>
        <w:autoSpaceDN w:val="0"/>
        <w:adjustRightInd w:val="0"/>
        <w:spacing w:after="240" w:line="280" w:lineRule="atLeast"/>
        <w:jc w:val="center"/>
        <w:rPr>
          <w:rFonts w:ascii="Times" w:hAnsi="Times" w:cs="Times"/>
          <w:color w:val="4472C4" w:themeColor="accent1"/>
          <w:sz w:val="28"/>
        </w:rPr>
      </w:pPr>
      <w:r>
        <w:rPr>
          <w:rFonts w:ascii="Times" w:hAnsi="Times" w:cs="Times"/>
          <w:color w:val="4472C4" w:themeColor="accent1"/>
          <w:sz w:val="28"/>
        </w:rPr>
        <w:t xml:space="preserve">Rose </w:t>
      </w:r>
      <w:proofErr w:type="spellStart"/>
      <w:r>
        <w:rPr>
          <w:rFonts w:ascii="Times" w:hAnsi="Times" w:cs="Times"/>
          <w:color w:val="4472C4" w:themeColor="accent1"/>
          <w:sz w:val="28"/>
        </w:rPr>
        <w:t>Eiduson</w:t>
      </w:r>
      <w:proofErr w:type="spellEnd"/>
      <w:r>
        <w:rPr>
          <w:rFonts w:ascii="Times" w:hAnsi="Times" w:cs="Times"/>
          <w:color w:val="4472C4" w:themeColor="accent1"/>
          <w:sz w:val="28"/>
        </w:rPr>
        <w:t xml:space="preserve">: </w:t>
      </w:r>
      <w:r w:rsidRPr="003B6658">
        <w:rPr>
          <w:rFonts w:ascii="Times" w:hAnsi="Times" w:cs="Times"/>
          <w:color w:val="4472C4" w:themeColor="accent1"/>
          <w:sz w:val="28"/>
        </w:rPr>
        <w:t xml:space="preserve">Boston Children’s Hospital Boston, Massachusetts </w:t>
      </w:r>
    </w:p>
    <w:p w14:paraId="0CEED035" w14:textId="77777777" w:rsidR="003B6658" w:rsidRPr="00EF4DFB" w:rsidRDefault="003B6658" w:rsidP="00EF4DFB">
      <w:pPr>
        <w:widowControl w:val="0"/>
        <w:autoSpaceDE w:val="0"/>
        <w:autoSpaceDN w:val="0"/>
        <w:adjustRightInd w:val="0"/>
        <w:spacing w:after="240" w:line="280" w:lineRule="atLeast"/>
        <w:jc w:val="center"/>
        <w:rPr>
          <w:rFonts w:ascii="Times" w:hAnsi="Times" w:cs="Times"/>
          <w:color w:val="4472C4" w:themeColor="accent1"/>
          <w:sz w:val="28"/>
        </w:rPr>
      </w:pPr>
    </w:p>
    <w:p w14:paraId="152F870A" w14:textId="77777777" w:rsidR="00EF4DFB" w:rsidRDefault="00EF4DFB" w:rsidP="00EF4DFB">
      <w:pPr>
        <w:widowControl w:val="0"/>
        <w:autoSpaceDE w:val="0"/>
        <w:autoSpaceDN w:val="0"/>
        <w:adjustRightInd w:val="0"/>
        <w:spacing w:after="240" w:line="280" w:lineRule="atLeast"/>
        <w:rPr>
          <w:rFonts w:ascii="Times" w:hAnsi="Times" w:cs="Times"/>
          <w:color w:val="1A1718"/>
        </w:rPr>
      </w:pPr>
    </w:p>
    <w:p w14:paraId="5B5C4659"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The separation of families under the Trump administration stems from their implementation of the Zero Tolerance Policy. On May 7, 2018, Attorney General Jeff Sessions announced that, under this policy, any person who crosses the southwest border of the United States without proper immigration </w:t>
      </w:r>
      <w:proofErr w:type="spellStart"/>
      <w:r>
        <w:rPr>
          <w:rFonts w:ascii="Times" w:hAnsi="Times" w:cs="Times"/>
          <w:color w:val="1A1718"/>
        </w:rPr>
        <w:t>docu</w:t>
      </w:r>
      <w:proofErr w:type="spellEnd"/>
      <w:r>
        <w:rPr>
          <w:rFonts w:ascii="Times" w:hAnsi="Times" w:cs="Times"/>
          <w:color w:val="1A1718"/>
        </w:rPr>
        <w:t xml:space="preserve">- mentation will be held for prosecution (Sessions, 2018). At the same time, the </w:t>
      </w:r>
      <w:r>
        <w:rPr>
          <w:rFonts w:ascii="Times" w:hAnsi="Times" w:cs="Times"/>
          <w:i/>
          <w:iCs/>
          <w:color w:val="1A1718"/>
        </w:rPr>
        <w:t xml:space="preserve">Flores </w:t>
      </w:r>
      <w:r>
        <w:rPr>
          <w:rFonts w:ascii="Times" w:hAnsi="Times" w:cs="Times"/>
          <w:color w:val="1A1718"/>
        </w:rPr>
        <w:t xml:space="preserve">Settlement and the </w:t>
      </w:r>
      <w:r>
        <w:rPr>
          <w:rFonts w:ascii="Times" w:hAnsi="Times" w:cs="Times"/>
          <w:i/>
          <w:iCs/>
          <w:color w:val="1A1718"/>
        </w:rPr>
        <w:t xml:space="preserve">Trafficking Victims Protection Reauthorization Act </w:t>
      </w:r>
      <w:r>
        <w:rPr>
          <w:rFonts w:ascii="Times" w:hAnsi="Times" w:cs="Times"/>
          <w:color w:val="1A1718"/>
        </w:rPr>
        <w:t xml:space="preserve">prevent the government both from holding children in restrictive environments or from holding them for longer than 20 days. Therefore, the children could not be lawfully held while their parents awaited trials and, as a result, were separated upon arrival at the border. Follow- </w:t>
      </w:r>
      <w:proofErr w:type="spellStart"/>
      <w:r>
        <w:rPr>
          <w:rFonts w:ascii="Times" w:hAnsi="Times" w:cs="Times"/>
          <w:color w:val="1A1718"/>
        </w:rPr>
        <w:t>ing</w:t>
      </w:r>
      <w:proofErr w:type="spellEnd"/>
      <w:r>
        <w:rPr>
          <w:rFonts w:ascii="Times" w:hAnsi="Times" w:cs="Times"/>
          <w:color w:val="1A1718"/>
        </w:rPr>
        <w:t xml:space="preserve"> separation, children from birth to 17 years old are being held in facilities run by the Office of Refugee Resettlement. The youngest children are held in “Tender Age” shelters which are specially equipped to house children under 5 years old. Eventually, some children are sent to foster families, but many have remained disconnected from their parents (</w:t>
      </w:r>
      <w:proofErr w:type="spellStart"/>
      <w:r>
        <w:rPr>
          <w:rFonts w:ascii="Times" w:hAnsi="Times" w:cs="Times"/>
          <w:color w:val="1A1718"/>
        </w:rPr>
        <w:t>Domonoske</w:t>
      </w:r>
      <w:proofErr w:type="spellEnd"/>
      <w:r>
        <w:rPr>
          <w:rFonts w:ascii="Times" w:hAnsi="Times" w:cs="Times"/>
          <w:color w:val="1A1718"/>
        </w:rPr>
        <w:t xml:space="preserve"> &amp; Gonzales, 2018). </w:t>
      </w:r>
    </w:p>
    <w:p w14:paraId="7E03BB9D"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These fear-invoking policies and family separation tactics were intended to deter families from crossing the border but have not proven successful in doing so as migrants continue to try to reach the United States (</w:t>
      </w:r>
      <w:proofErr w:type="spellStart"/>
      <w:r>
        <w:rPr>
          <w:rFonts w:ascii="Times" w:hAnsi="Times" w:cs="Times"/>
          <w:color w:val="1A1718"/>
        </w:rPr>
        <w:t>Domonoske</w:t>
      </w:r>
      <w:proofErr w:type="spellEnd"/>
      <w:r>
        <w:rPr>
          <w:rFonts w:ascii="Times" w:hAnsi="Times" w:cs="Times"/>
          <w:color w:val="1A1718"/>
        </w:rPr>
        <w:t xml:space="preserve"> &amp; Gonzales, 2018). This, some commentators have noted, speaks especially to the dire circumstances that force people to migrate: Few migrants perceived these policies as being worse than the conditions in their home countries (</w:t>
      </w:r>
      <w:proofErr w:type="spellStart"/>
      <w:r>
        <w:rPr>
          <w:rFonts w:ascii="Times" w:hAnsi="Times" w:cs="Times"/>
          <w:color w:val="1A1718"/>
        </w:rPr>
        <w:t>Vásquez</w:t>
      </w:r>
      <w:proofErr w:type="spellEnd"/>
      <w:r>
        <w:rPr>
          <w:rFonts w:ascii="Times" w:hAnsi="Times" w:cs="Times"/>
          <w:color w:val="1A1718"/>
        </w:rPr>
        <w:t xml:space="preserve">, 2018). </w:t>
      </w:r>
    </w:p>
    <w:p w14:paraId="70417CD4"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On Wednesday June 20, President Trump signed an executive order to end family separation and replace it with family </w:t>
      </w:r>
      <w:proofErr w:type="spellStart"/>
      <w:r>
        <w:rPr>
          <w:rFonts w:ascii="Times" w:hAnsi="Times" w:cs="Times"/>
          <w:color w:val="1A1718"/>
        </w:rPr>
        <w:t>deten</w:t>
      </w:r>
      <w:proofErr w:type="spellEnd"/>
      <w:r>
        <w:rPr>
          <w:rFonts w:ascii="Times" w:hAnsi="Times" w:cs="Times"/>
          <w:color w:val="1A1718"/>
        </w:rPr>
        <w:t xml:space="preserve">- </w:t>
      </w:r>
      <w:proofErr w:type="spellStart"/>
      <w:r>
        <w:rPr>
          <w:rFonts w:ascii="Times" w:hAnsi="Times" w:cs="Times"/>
          <w:color w:val="1A1718"/>
        </w:rPr>
        <w:t>tion</w:t>
      </w:r>
      <w:proofErr w:type="spellEnd"/>
      <w:r>
        <w:rPr>
          <w:rFonts w:ascii="Times" w:hAnsi="Times" w:cs="Times"/>
          <w:color w:val="1A1718"/>
        </w:rPr>
        <w:t xml:space="preserve">. He has requested from the federal courts an addendum to the existing laws so that children can be held in detention with their parents indefinitely. However, for the children who have already been separated, the process of reunification is relatively hazy (Shear, </w:t>
      </w:r>
      <w:proofErr w:type="spellStart"/>
      <w:r>
        <w:rPr>
          <w:rFonts w:ascii="Times" w:hAnsi="Times" w:cs="Times"/>
          <w:color w:val="1A1718"/>
        </w:rPr>
        <w:t>Goodnough</w:t>
      </w:r>
      <w:proofErr w:type="spellEnd"/>
      <w:r>
        <w:rPr>
          <w:rFonts w:ascii="Times" w:hAnsi="Times" w:cs="Times"/>
          <w:color w:val="1A1718"/>
        </w:rPr>
        <w:t xml:space="preserve">, &amp; </w:t>
      </w:r>
      <w:proofErr w:type="spellStart"/>
      <w:r>
        <w:rPr>
          <w:rFonts w:ascii="Times" w:hAnsi="Times" w:cs="Times"/>
          <w:color w:val="1A1718"/>
        </w:rPr>
        <w:t>Haberman</w:t>
      </w:r>
      <w:proofErr w:type="spellEnd"/>
      <w:r>
        <w:rPr>
          <w:rFonts w:ascii="Times" w:hAnsi="Times" w:cs="Times"/>
          <w:color w:val="1A1718"/>
        </w:rPr>
        <w:t xml:space="preserve">, 2018). While there are formal procedures in place to reunite families following the parents’ deportation trials, some lawyers and advocates have noted a lack of formal tracking systems to ensure that the </w:t>
      </w:r>
      <w:proofErr w:type="spellStart"/>
      <w:r>
        <w:rPr>
          <w:rFonts w:ascii="Times" w:hAnsi="Times" w:cs="Times"/>
          <w:color w:val="1A1718"/>
        </w:rPr>
        <w:t>chil</w:t>
      </w:r>
      <w:proofErr w:type="spellEnd"/>
      <w:r>
        <w:rPr>
          <w:rFonts w:ascii="Times" w:hAnsi="Times" w:cs="Times"/>
          <w:color w:val="1A1718"/>
        </w:rPr>
        <w:t xml:space="preserve">- </w:t>
      </w:r>
      <w:proofErr w:type="spellStart"/>
      <w:r>
        <w:rPr>
          <w:rFonts w:ascii="Times" w:hAnsi="Times" w:cs="Times"/>
          <w:color w:val="1A1718"/>
        </w:rPr>
        <w:t>dren</w:t>
      </w:r>
      <w:proofErr w:type="spellEnd"/>
      <w:r>
        <w:rPr>
          <w:rFonts w:ascii="Times" w:hAnsi="Times" w:cs="Times"/>
          <w:color w:val="1A1718"/>
        </w:rPr>
        <w:t xml:space="preserve"> are both accounted for and connected to their parents’ cases, and, in fact, some parents have been deported with </w:t>
      </w:r>
    </w:p>
    <w:p w14:paraId="1B5EC887"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lastRenderedPageBreak/>
        <w:t>their children remaining in foster care or in detention facilities in the United States (</w:t>
      </w:r>
      <w:proofErr w:type="spellStart"/>
      <w:r>
        <w:rPr>
          <w:rFonts w:ascii="Times" w:hAnsi="Times" w:cs="Times"/>
          <w:color w:val="1A1718"/>
        </w:rPr>
        <w:t>Domonoske</w:t>
      </w:r>
      <w:proofErr w:type="spellEnd"/>
      <w:r>
        <w:rPr>
          <w:rFonts w:ascii="Times" w:hAnsi="Times" w:cs="Times"/>
          <w:color w:val="1A1718"/>
        </w:rPr>
        <w:t xml:space="preserve"> &amp; Gonzales, 2018; Shear et al., 2018). </w:t>
      </w:r>
    </w:p>
    <w:p w14:paraId="1E3FB218"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“Until very recently, the plight of young migrant children affected or threatened by the loss of their attachment figures to immigration enforcement activities has been often omitted or ignored in debates and enforcement policies on immigration” (</w:t>
      </w:r>
      <w:proofErr w:type="spellStart"/>
      <w:r>
        <w:rPr>
          <w:rFonts w:ascii="Times" w:hAnsi="Times" w:cs="Times"/>
          <w:color w:val="1A1718"/>
        </w:rPr>
        <w:t>Hainmueller</w:t>
      </w:r>
      <w:proofErr w:type="spellEnd"/>
      <w:r>
        <w:rPr>
          <w:rFonts w:ascii="Times" w:hAnsi="Times" w:cs="Times"/>
          <w:color w:val="1A1718"/>
        </w:rPr>
        <w:t xml:space="preserve"> et al., 2017; </w:t>
      </w:r>
      <w:proofErr w:type="spellStart"/>
      <w:r>
        <w:rPr>
          <w:rFonts w:ascii="Times" w:hAnsi="Times" w:cs="Times"/>
          <w:color w:val="1A1718"/>
        </w:rPr>
        <w:t>Zayas</w:t>
      </w:r>
      <w:proofErr w:type="spellEnd"/>
      <w:r>
        <w:rPr>
          <w:rFonts w:ascii="Times" w:hAnsi="Times" w:cs="Times"/>
          <w:color w:val="1A1718"/>
        </w:rPr>
        <w:t>, Aguilar-</w:t>
      </w:r>
      <w:proofErr w:type="spellStart"/>
      <w:r>
        <w:rPr>
          <w:rFonts w:ascii="Times" w:hAnsi="Times" w:cs="Times"/>
          <w:color w:val="1A1718"/>
        </w:rPr>
        <w:t>Gaxiola</w:t>
      </w:r>
      <w:proofErr w:type="spellEnd"/>
      <w:r>
        <w:rPr>
          <w:rFonts w:ascii="Times" w:hAnsi="Times" w:cs="Times"/>
          <w:color w:val="1A1718"/>
        </w:rPr>
        <w:t xml:space="preserve">, Yoon, &amp; Rey 2015; </w:t>
      </w:r>
      <w:proofErr w:type="spellStart"/>
      <w:r>
        <w:rPr>
          <w:rFonts w:ascii="Times" w:hAnsi="Times" w:cs="Times"/>
          <w:color w:val="1A1718"/>
        </w:rPr>
        <w:t>Zayas</w:t>
      </w:r>
      <w:proofErr w:type="spellEnd"/>
      <w:r>
        <w:rPr>
          <w:rFonts w:ascii="Times" w:hAnsi="Times" w:cs="Times"/>
          <w:color w:val="1A1718"/>
        </w:rPr>
        <w:t xml:space="preserve"> &amp; </w:t>
      </w:r>
      <w:proofErr w:type="spellStart"/>
      <w:r>
        <w:rPr>
          <w:rFonts w:ascii="Times" w:hAnsi="Times" w:cs="Times"/>
          <w:color w:val="1A1718"/>
        </w:rPr>
        <w:t>Heffron</w:t>
      </w:r>
      <w:proofErr w:type="spellEnd"/>
      <w:r>
        <w:rPr>
          <w:rFonts w:ascii="Times" w:hAnsi="Times" w:cs="Times"/>
          <w:color w:val="1A1718"/>
        </w:rPr>
        <w:t xml:space="preserve">, 2016, as cited in </w:t>
      </w:r>
      <w:proofErr w:type="spellStart"/>
      <w:r>
        <w:rPr>
          <w:rFonts w:ascii="Times" w:hAnsi="Times" w:cs="Times"/>
          <w:color w:val="1A1718"/>
        </w:rPr>
        <w:t>Osofsky</w:t>
      </w:r>
      <w:proofErr w:type="spellEnd"/>
      <w:r>
        <w:rPr>
          <w:rFonts w:ascii="Times" w:hAnsi="Times" w:cs="Times"/>
          <w:color w:val="1A1718"/>
        </w:rPr>
        <w:t xml:space="preserve">, </w:t>
      </w:r>
      <w:proofErr w:type="spellStart"/>
      <w:r>
        <w:rPr>
          <w:rFonts w:ascii="Times" w:hAnsi="Times" w:cs="Times"/>
          <w:color w:val="1A1718"/>
        </w:rPr>
        <w:t>Wieder</w:t>
      </w:r>
      <w:proofErr w:type="spellEnd"/>
      <w:r>
        <w:rPr>
          <w:rFonts w:ascii="Times" w:hAnsi="Times" w:cs="Times"/>
          <w:color w:val="1A1718"/>
        </w:rPr>
        <w:t xml:space="preserve">, </w:t>
      </w:r>
      <w:proofErr w:type="spellStart"/>
      <w:r>
        <w:rPr>
          <w:rFonts w:ascii="Times" w:hAnsi="Times" w:cs="Times"/>
          <w:color w:val="1A1718"/>
        </w:rPr>
        <w:t>Noroña</w:t>
      </w:r>
      <w:proofErr w:type="spellEnd"/>
      <w:r>
        <w:rPr>
          <w:rFonts w:ascii="Times" w:hAnsi="Times" w:cs="Times"/>
          <w:color w:val="1A1718"/>
        </w:rPr>
        <w:t xml:space="preserve">, Lowell, &amp; Worthy, 2018, p. 35). These policies run against developmental science and social justice principles in which early childhood and mental health work is grounded </w:t>
      </w:r>
    </w:p>
    <w:p w14:paraId="0CA00E66"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0E6EB1"/>
        </w:rPr>
        <w:t xml:space="preserve">On Wednesday June 20, 2018, President Trump signed an executive order to end family separation and replace it with family detention. </w:t>
      </w:r>
    </w:p>
    <w:p w14:paraId="73552410"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w:t>
      </w:r>
      <w:proofErr w:type="spellStart"/>
      <w:r>
        <w:rPr>
          <w:rFonts w:ascii="Times" w:hAnsi="Times" w:cs="Times"/>
          <w:color w:val="1A1718"/>
        </w:rPr>
        <w:t>MacKenzie</w:t>
      </w:r>
      <w:proofErr w:type="spellEnd"/>
      <w:r>
        <w:rPr>
          <w:rFonts w:ascii="Times" w:hAnsi="Times" w:cs="Times"/>
          <w:color w:val="1A1718"/>
        </w:rPr>
        <w:t xml:space="preserve"> et al., 2017). Therefore, in order to avoid becoming silent bystanders of normalized violence and to better advocate and serve these children, infant and early mental health practitioners must: (</w:t>
      </w:r>
      <w:proofErr w:type="spellStart"/>
      <w:r>
        <w:rPr>
          <w:rFonts w:ascii="Times" w:hAnsi="Times" w:cs="Times"/>
          <w:color w:val="1A1718"/>
        </w:rPr>
        <w:t>a</w:t>
      </w:r>
      <w:proofErr w:type="spellEnd"/>
      <w:r>
        <w:rPr>
          <w:rFonts w:ascii="Times" w:hAnsi="Times" w:cs="Times"/>
          <w:color w:val="1A1718"/>
        </w:rPr>
        <w:t xml:space="preserve">) increase their understanding about the impact that separation from primary caregivers under sudden, frightening, and chaotic circumstances can have on young children who might have been exposed to prior significant traumas and losses; (b) raise their awareness about the ripple effects that these unnecessary separations have on the immigrant community, on the providers, on institutions charged with the protection of children (e.g., child welfare agencies), and on society in general; (c) learn about the dynamics of immigration and about the historical, socio-economic, and political factors and contextual forces influencing families’ decisions to leave their countries and </w:t>
      </w:r>
    </w:p>
    <w:p w14:paraId="24555ED1"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that further endanger them once they cross the border to the United States; and, most important, (d) engage in intentional self-exploration about how their own personal histories, socio-cultural contexts, and professional cultures have shaped their views, values, and preconceptions about working with undocumented migrant families (</w:t>
      </w:r>
      <w:proofErr w:type="spellStart"/>
      <w:r>
        <w:rPr>
          <w:rFonts w:ascii="Times" w:hAnsi="Times" w:cs="Times"/>
          <w:color w:val="1A1718"/>
        </w:rPr>
        <w:t>Osofsky</w:t>
      </w:r>
      <w:proofErr w:type="spellEnd"/>
      <w:r>
        <w:rPr>
          <w:rFonts w:ascii="Times" w:hAnsi="Times" w:cs="Times"/>
          <w:color w:val="1A1718"/>
        </w:rPr>
        <w:t xml:space="preserve"> et al., 2018; St. John, Thomas, &amp; </w:t>
      </w:r>
      <w:proofErr w:type="spellStart"/>
      <w:r>
        <w:rPr>
          <w:rFonts w:ascii="Times" w:hAnsi="Times" w:cs="Times"/>
          <w:color w:val="1A1718"/>
        </w:rPr>
        <w:t>Noroña</w:t>
      </w:r>
      <w:proofErr w:type="spellEnd"/>
      <w:r>
        <w:rPr>
          <w:rFonts w:ascii="Times" w:hAnsi="Times" w:cs="Times"/>
          <w:color w:val="1A1718"/>
        </w:rPr>
        <w:t xml:space="preserve">, 2012). </w:t>
      </w:r>
    </w:p>
    <w:p w14:paraId="7A234C11"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This article will address immigration as a psychosocial event and will describe the different stages of the immigration process, when immigration becomes traumatic, and how each immigration stage can place vulnerable Latin American families at high risk for traumatic stress. It will explore pre-migration experiences and the pull and push factors (Goldberg, 2014) causing young families from the Northern Triangle, Mexico, and neighboring countries to cross the United States–Mexico border. We will analyze two powerful push factors: the current drug wars in Mexico and the social violence reverberating </w:t>
      </w:r>
    </w:p>
    <w:p w14:paraId="372A27B4"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in Central American countries as the aftermath of historical traumas that affected the region between 1960–2000, in the form of foreign-sponsored political violence and massacres. </w:t>
      </w:r>
    </w:p>
    <w:p w14:paraId="67420439" w14:textId="77777777" w:rsidR="00EF4DFB" w:rsidRDefault="00EF4DFB" w:rsidP="00EF4DFB">
      <w:pPr>
        <w:widowControl w:val="0"/>
        <w:autoSpaceDE w:val="0"/>
        <w:autoSpaceDN w:val="0"/>
        <w:adjustRightInd w:val="0"/>
        <w:spacing w:line="280" w:lineRule="atLeast"/>
        <w:rPr>
          <w:rFonts w:ascii="Times" w:hAnsi="Times" w:cs="Times"/>
          <w:color w:val="000000"/>
        </w:rPr>
      </w:pPr>
      <w:r>
        <w:rPr>
          <w:rFonts w:ascii="Times" w:hAnsi="Times" w:cs="Times"/>
          <w:noProof/>
          <w:color w:val="000000"/>
        </w:rPr>
        <w:drawing>
          <wp:inline distT="0" distB="0" distL="0" distR="0" wp14:anchorId="4F63A95D" wp14:editId="3D653D50">
            <wp:extent cx="3069590" cy="1079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69590" cy="10795"/>
                    </a:xfrm>
                    <a:prstGeom prst="rect">
                      <a:avLst/>
                    </a:prstGeom>
                    <a:noFill/>
                    <a:ln>
                      <a:noFill/>
                    </a:ln>
                  </pic:spPr>
                </pic:pic>
              </a:graphicData>
            </a:graphic>
          </wp:inline>
        </w:drawing>
      </w:r>
    </w:p>
    <w:p w14:paraId="6AA8E4C2" w14:textId="77777777" w:rsidR="00EF4DFB" w:rsidRDefault="00EF4DFB" w:rsidP="00EF4DFB">
      <w:pPr>
        <w:widowControl w:val="0"/>
        <w:autoSpaceDE w:val="0"/>
        <w:autoSpaceDN w:val="0"/>
        <w:adjustRightInd w:val="0"/>
        <w:spacing w:line="280" w:lineRule="atLeast"/>
        <w:rPr>
          <w:rFonts w:ascii="Times" w:hAnsi="Times" w:cs="Times"/>
          <w:color w:val="000000"/>
        </w:rPr>
      </w:pPr>
      <w:r>
        <w:rPr>
          <w:rFonts w:ascii="Times" w:hAnsi="Times" w:cs="Times"/>
          <w:noProof/>
          <w:color w:val="000000"/>
        </w:rPr>
        <w:drawing>
          <wp:inline distT="0" distB="0" distL="0" distR="0" wp14:anchorId="6FEDE872" wp14:editId="14FB5B12">
            <wp:extent cx="3124200" cy="260159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24200" cy="2601595"/>
                    </a:xfrm>
                    <a:prstGeom prst="rect">
                      <a:avLst/>
                    </a:prstGeom>
                    <a:noFill/>
                    <a:ln>
                      <a:noFill/>
                    </a:ln>
                  </pic:spPr>
                </pic:pic>
              </a:graphicData>
            </a:graphic>
          </wp:inline>
        </w:drawing>
      </w:r>
    </w:p>
    <w:p w14:paraId="6C5CCF73"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0E6EB1"/>
        </w:rPr>
        <w:t xml:space="preserve">A great majority of undocumented families detained and separated at the United States Mexico border are nationals from Mexico and from the Northern Triangle. </w:t>
      </w:r>
    </w:p>
    <w:p w14:paraId="3F8F5AF9"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We will present forceful separation of migrant children from their caregivers as a continuation of systemic forms of </w:t>
      </w:r>
      <w:proofErr w:type="spellStart"/>
      <w:r>
        <w:rPr>
          <w:rFonts w:ascii="Times" w:hAnsi="Times" w:cs="Times"/>
          <w:color w:val="1A1718"/>
        </w:rPr>
        <w:t>oppres</w:t>
      </w:r>
      <w:proofErr w:type="spellEnd"/>
      <w:r>
        <w:rPr>
          <w:rFonts w:ascii="Times" w:hAnsi="Times" w:cs="Times"/>
          <w:color w:val="1A1718"/>
        </w:rPr>
        <w:t xml:space="preserve">- </w:t>
      </w:r>
      <w:proofErr w:type="spellStart"/>
      <w:r>
        <w:rPr>
          <w:rFonts w:ascii="Times" w:hAnsi="Times" w:cs="Times"/>
          <w:color w:val="1A1718"/>
        </w:rPr>
        <w:t>sion</w:t>
      </w:r>
      <w:proofErr w:type="spellEnd"/>
      <w:r>
        <w:rPr>
          <w:rFonts w:ascii="Times" w:hAnsi="Times" w:cs="Times"/>
          <w:color w:val="1A1718"/>
        </w:rPr>
        <w:t xml:space="preserve"> and violence with this population and a replication of practices historically used in the US with the most vulnerable. The article will emphasize how protecting migrant children’s rights to be with their families is not only a historical debt and a human rights responsibility, but a way of breaking historical patterns of abuse and oppression </w:t>
      </w:r>
    </w:p>
    <w:p w14:paraId="79A1E762"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We will briefly address the long- and short-term effects of family separations on young Latin American children and their caregivers, and we will discuss trauma- and diversity-informed interventions targeted at increasing safety, empowerment, and hope (</w:t>
      </w:r>
      <w:proofErr w:type="spellStart"/>
      <w:r>
        <w:rPr>
          <w:rFonts w:ascii="Times" w:hAnsi="Times" w:cs="Times"/>
          <w:color w:val="1A1718"/>
        </w:rPr>
        <w:t>Osofsky</w:t>
      </w:r>
      <w:proofErr w:type="spellEnd"/>
      <w:r>
        <w:rPr>
          <w:rFonts w:ascii="Times" w:hAnsi="Times" w:cs="Times"/>
          <w:color w:val="1A1718"/>
        </w:rPr>
        <w:t xml:space="preserve"> et al., 2018). </w:t>
      </w:r>
    </w:p>
    <w:p w14:paraId="53368E24" w14:textId="77777777" w:rsidR="00EF4DFB" w:rsidRDefault="00EF4DFB" w:rsidP="00EF4DFB">
      <w:pPr>
        <w:widowControl w:val="0"/>
        <w:autoSpaceDE w:val="0"/>
        <w:autoSpaceDN w:val="0"/>
        <w:adjustRightInd w:val="0"/>
        <w:spacing w:after="240" w:line="360" w:lineRule="atLeast"/>
        <w:rPr>
          <w:rFonts w:ascii="Times" w:hAnsi="Times" w:cs="Times"/>
          <w:color w:val="000000"/>
        </w:rPr>
      </w:pPr>
      <w:r>
        <w:rPr>
          <w:rFonts w:ascii="Times" w:hAnsi="Times" w:cs="Times"/>
          <w:color w:val="0E6EB1"/>
          <w:sz w:val="32"/>
          <w:szCs w:val="32"/>
        </w:rPr>
        <w:t xml:space="preserve">Overview of Immigration as a Psychosocial Event </w:t>
      </w:r>
    </w:p>
    <w:p w14:paraId="6EF7D883"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Migrating across borders is a complex psychosocial process that includes the initial decision to leave, the process of migration, and of adjustment to the new country (Pérez-Foster, 2001). Whether permanent or temporary, forced or chosen, </w:t>
      </w:r>
      <w:proofErr w:type="spellStart"/>
      <w:r>
        <w:rPr>
          <w:rFonts w:ascii="Times" w:hAnsi="Times" w:cs="Times"/>
          <w:color w:val="1A1718"/>
        </w:rPr>
        <w:t>immigra</w:t>
      </w:r>
      <w:proofErr w:type="spellEnd"/>
      <w:r>
        <w:rPr>
          <w:rFonts w:ascii="Times" w:hAnsi="Times" w:cs="Times"/>
          <w:color w:val="1A1718"/>
        </w:rPr>
        <w:t xml:space="preserve">- </w:t>
      </w:r>
      <w:proofErr w:type="spellStart"/>
      <w:r>
        <w:rPr>
          <w:rFonts w:ascii="Times" w:hAnsi="Times" w:cs="Times"/>
          <w:color w:val="1A1718"/>
        </w:rPr>
        <w:t>tion</w:t>
      </w:r>
      <w:proofErr w:type="spellEnd"/>
      <w:r>
        <w:rPr>
          <w:rFonts w:ascii="Times" w:hAnsi="Times" w:cs="Times"/>
          <w:color w:val="1A1718"/>
        </w:rPr>
        <w:t xml:space="preserve"> entails losses, family fragmentation, and psycho-structural change, all of which has a lasting impact on a person’s identity (Akhtar, 1995; Pérez-Foster, 2001). Immigration then, has deep effects on the overall health and well-being of youth and adults, including their mental health functioning. </w:t>
      </w:r>
    </w:p>
    <w:p w14:paraId="353A06D6"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From a mental health perspective, immigration is undoubtedly linked to major adjustment stressors; it has been associated with depression, anxiety, substance abuse, increase of violence, and posttraumatic stress disorder (Pérez-Foster, 2001). The impact of immigration to a family’s and individual’s function- </w:t>
      </w:r>
      <w:proofErr w:type="spellStart"/>
      <w:r>
        <w:rPr>
          <w:rFonts w:ascii="Times" w:hAnsi="Times" w:cs="Times"/>
          <w:color w:val="1A1718"/>
        </w:rPr>
        <w:t>ing</w:t>
      </w:r>
      <w:proofErr w:type="spellEnd"/>
      <w:r>
        <w:rPr>
          <w:rFonts w:ascii="Times" w:hAnsi="Times" w:cs="Times"/>
          <w:color w:val="1A1718"/>
        </w:rPr>
        <w:t xml:space="preserve"> depends on a number of factors such as: reasons to leave </w:t>
      </w:r>
    </w:p>
    <w:p w14:paraId="0E25134A"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the country of origin, degree of choice to immigrate, age of immigration, mode of migration, temporary versus permanent migration, possibility of revisiting the home country, migrating alone or with family, the possibility of keeping original pro- </w:t>
      </w:r>
      <w:proofErr w:type="spellStart"/>
      <w:r>
        <w:rPr>
          <w:rFonts w:ascii="Times" w:hAnsi="Times" w:cs="Times"/>
          <w:color w:val="1A1718"/>
        </w:rPr>
        <w:t>fessional</w:t>
      </w:r>
      <w:proofErr w:type="spellEnd"/>
      <w:r>
        <w:rPr>
          <w:rFonts w:ascii="Times" w:hAnsi="Times" w:cs="Times"/>
          <w:color w:val="1A1718"/>
        </w:rPr>
        <w:t xml:space="preserve"> and socio-economic status (e.g., a medical doctor cannot practice any longer as a result of his degree not being recognized in the receiving country), and how the host country receives the immigrants (Pérez-Foster, 2001). </w:t>
      </w:r>
    </w:p>
    <w:p w14:paraId="3F61C5AA"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Certain risk factors associated with what has been described as immigrant trauma (Pérez-Foster, 2001) place individuals who have fled their native countries as a result of war, genocide, violence, or oppression at very high risk for further psychological trauma (</w:t>
      </w:r>
      <w:proofErr w:type="spellStart"/>
      <w:r>
        <w:rPr>
          <w:rFonts w:ascii="Times" w:hAnsi="Times" w:cs="Times"/>
          <w:color w:val="1A1718"/>
        </w:rPr>
        <w:t>Aisenberg</w:t>
      </w:r>
      <w:proofErr w:type="spellEnd"/>
      <w:r>
        <w:rPr>
          <w:rFonts w:ascii="Times" w:hAnsi="Times" w:cs="Times"/>
          <w:color w:val="1A1718"/>
        </w:rPr>
        <w:t xml:space="preserve"> &amp; </w:t>
      </w:r>
      <w:proofErr w:type="spellStart"/>
      <w:r>
        <w:rPr>
          <w:rFonts w:ascii="Times" w:hAnsi="Times" w:cs="Times"/>
          <w:color w:val="1A1718"/>
        </w:rPr>
        <w:t>Herrenkohl</w:t>
      </w:r>
      <w:proofErr w:type="spellEnd"/>
      <w:r>
        <w:rPr>
          <w:rFonts w:ascii="Times" w:hAnsi="Times" w:cs="Times"/>
          <w:color w:val="1A1718"/>
        </w:rPr>
        <w:t xml:space="preserve">, 2008; Bernal &amp; </w:t>
      </w:r>
      <w:proofErr w:type="spellStart"/>
      <w:r>
        <w:rPr>
          <w:rFonts w:ascii="Times" w:hAnsi="Times" w:cs="Times"/>
          <w:color w:val="1A1718"/>
        </w:rPr>
        <w:t>Sáez</w:t>
      </w:r>
      <w:proofErr w:type="spellEnd"/>
      <w:r>
        <w:rPr>
          <w:rFonts w:ascii="Times" w:hAnsi="Times" w:cs="Times"/>
          <w:color w:val="1A1718"/>
        </w:rPr>
        <w:t xml:space="preserve">-Santiago; 2006; Fortuna, </w:t>
      </w:r>
      <w:proofErr w:type="spellStart"/>
      <w:r>
        <w:rPr>
          <w:rFonts w:ascii="Times" w:hAnsi="Times" w:cs="Times"/>
          <w:color w:val="1A1718"/>
        </w:rPr>
        <w:t>Porche</w:t>
      </w:r>
      <w:proofErr w:type="spellEnd"/>
      <w:r>
        <w:rPr>
          <w:rFonts w:ascii="Times" w:hAnsi="Times" w:cs="Times"/>
          <w:color w:val="1A1718"/>
        </w:rPr>
        <w:t xml:space="preserve">, &amp; </w:t>
      </w:r>
      <w:proofErr w:type="spellStart"/>
      <w:r>
        <w:rPr>
          <w:rFonts w:ascii="Times" w:hAnsi="Times" w:cs="Times"/>
          <w:color w:val="1A1718"/>
        </w:rPr>
        <w:t>Alegria</w:t>
      </w:r>
      <w:proofErr w:type="spellEnd"/>
      <w:r>
        <w:rPr>
          <w:rFonts w:ascii="Times" w:hAnsi="Times" w:cs="Times"/>
          <w:color w:val="1A1718"/>
        </w:rPr>
        <w:t xml:space="preserve">, 2008; Murphey, 2016; </w:t>
      </w:r>
      <w:proofErr w:type="spellStart"/>
      <w:r>
        <w:rPr>
          <w:rFonts w:ascii="Times" w:hAnsi="Times" w:cs="Times"/>
          <w:color w:val="1A1718"/>
        </w:rPr>
        <w:t>Zayas</w:t>
      </w:r>
      <w:proofErr w:type="spellEnd"/>
      <w:r>
        <w:rPr>
          <w:rFonts w:ascii="Times" w:hAnsi="Times" w:cs="Times"/>
          <w:color w:val="1A1718"/>
        </w:rPr>
        <w:t xml:space="preserve"> &amp; Cook, 2016). These potentially toxic factors include not only pre-migration stressors but also negative experiences occurring during the transit into the US and during temporary settlement such as, parental separation, sexual assault and rape, intimidation, exploitation by human smugglers, witnessing acts of violence, deprivation of basic needs, discrimination, and uncertainty. Once in the US, immigrants face additional stressors such as language barriers, discrimination, substandard housing and overcrowding, extreme poverty and isolation, acculturative stress, and vulnerability to exploitation and violence (Pérez-Foster, 2001). One of the most deleterious post-migration conditions for adults and their children is the lack of legal immigration status. There is evidence that the anguish and stress generated </w:t>
      </w:r>
    </w:p>
    <w:p w14:paraId="24E8E50C"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by a person’s undocumented status compounds pre- and during migration stressors as well as intra- and </w:t>
      </w:r>
      <w:proofErr w:type="spellStart"/>
      <w:r>
        <w:rPr>
          <w:rFonts w:ascii="Times" w:hAnsi="Times" w:cs="Times"/>
          <w:color w:val="1A1718"/>
        </w:rPr>
        <w:t>extrafamiliar</w:t>
      </w:r>
      <w:proofErr w:type="spellEnd"/>
      <w:r>
        <w:rPr>
          <w:rFonts w:ascii="Times" w:hAnsi="Times" w:cs="Times"/>
          <w:color w:val="1A1718"/>
        </w:rPr>
        <w:t xml:space="preserve"> acculturative stress increasing the risk for psychopathology (Cavazos-</w:t>
      </w:r>
      <w:proofErr w:type="spellStart"/>
      <w:r>
        <w:rPr>
          <w:rFonts w:ascii="Times" w:hAnsi="Times" w:cs="Times"/>
          <w:color w:val="1A1718"/>
        </w:rPr>
        <w:t>Rehg</w:t>
      </w:r>
      <w:proofErr w:type="spellEnd"/>
      <w:r>
        <w:rPr>
          <w:rFonts w:ascii="Times" w:hAnsi="Times" w:cs="Times"/>
          <w:color w:val="1A1718"/>
        </w:rPr>
        <w:t xml:space="preserve">, </w:t>
      </w:r>
      <w:proofErr w:type="spellStart"/>
      <w:r>
        <w:rPr>
          <w:rFonts w:ascii="Times" w:hAnsi="Times" w:cs="Times"/>
          <w:color w:val="1A1718"/>
        </w:rPr>
        <w:t>Zayas</w:t>
      </w:r>
      <w:proofErr w:type="spellEnd"/>
      <w:r>
        <w:rPr>
          <w:rFonts w:ascii="Times" w:hAnsi="Times" w:cs="Times"/>
          <w:color w:val="1A1718"/>
        </w:rPr>
        <w:t xml:space="preserve">, &amp; </w:t>
      </w:r>
      <w:proofErr w:type="spellStart"/>
      <w:r>
        <w:rPr>
          <w:rFonts w:ascii="Times" w:hAnsi="Times" w:cs="Times"/>
          <w:color w:val="1A1718"/>
        </w:rPr>
        <w:t>Spitznagel</w:t>
      </w:r>
      <w:proofErr w:type="spellEnd"/>
      <w:r>
        <w:rPr>
          <w:rFonts w:ascii="Times" w:hAnsi="Times" w:cs="Times"/>
          <w:color w:val="1A1718"/>
        </w:rPr>
        <w:t xml:space="preserve">, 2007; Fong &amp; Earner, 2007; </w:t>
      </w:r>
      <w:proofErr w:type="spellStart"/>
      <w:r>
        <w:rPr>
          <w:rFonts w:ascii="Times" w:hAnsi="Times" w:cs="Times"/>
          <w:color w:val="1A1718"/>
        </w:rPr>
        <w:t>Kanaiaupuni</w:t>
      </w:r>
      <w:proofErr w:type="spellEnd"/>
      <w:r>
        <w:rPr>
          <w:rFonts w:ascii="Times" w:hAnsi="Times" w:cs="Times"/>
          <w:color w:val="1A1718"/>
        </w:rPr>
        <w:t xml:space="preserve">, 2000; </w:t>
      </w:r>
      <w:proofErr w:type="spellStart"/>
      <w:r>
        <w:rPr>
          <w:rFonts w:ascii="Times" w:hAnsi="Times" w:cs="Times"/>
          <w:color w:val="1A1718"/>
        </w:rPr>
        <w:t>Potochnick</w:t>
      </w:r>
      <w:proofErr w:type="spellEnd"/>
      <w:r>
        <w:rPr>
          <w:rFonts w:ascii="Times" w:hAnsi="Times" w:cs="Times"/>
          <w:color w:val="1A1718"/>
        </w:rPr>
        <w:t xml:space="preserve"> &amp; </w:t>
      </w:r>
      <w:proofErr w:type="spellStart"/>
      <w:r>
        <w:rPr>
          <w:rFonts w:ascii="Times" w:hAnsi="Times" w:cs="Times"/>
          <w:color w:val="1A1718"/>
        </w:rPr>
        <w:t>Perreira</w:t>
      </w:r>
      <w:proofErr w:type="spellEnd"/>
      <w:r>
        <w:rPr>
          <w:rFonts w:ascii="Times" w:hAnsi="Times" w:cs="Times"/>
          <w:color w:val="1A1718"/>
        </w:rPr>
        <w:t xml:space="preserve">, 2010; Suárez-Orozco, Yoshikawa, </w:t>
      </w:r>
      <w:proofErr w:type="spellStart"/>
      <w:r>
        <w:rPr>
          <w:rFonts w:ascii="Times" w:hAnsi="Times" w:cs="Times"/>
          <w:color w:val="1A1718"/>
        </w:rPr>
        <w:t>Teranishi</w:t>
      </w:r>
      <w:proofErr w:type="spellEnd"/>
      <w:r>
        <w:rPr>
          <w:rFonts w:ascii="Times" w:hAnsi="Times" w:cs="Times"/>
          <w:color w:val="1A1718"/>
        </w:rPr>
        <w:t xml:space="preserve">, &amp; Suárez-Orozco, 2011; Yoshikawa &amp; </w:t>
      </w:r>
      <w:proofErr w:type="spellStart"/>
      <w:r>
        <w:rPr>
          <w:rFonts w:ascii="Times" w:hAnsi="Times" w:cs="Times"/>
          <w:color w:val="1A1718"/>
        </w:rPr>
        <w:t>Kholoptseva</w:t>
      </w:r>
      <w:proofErr w:type="spellEnd"/>
      <w:r>
        <w:rPr>
          <w:rFonts w:ascii="Times" w:hAnsi="Times" w:cs="Times"/>
          <w:color w:val="1A1718"/>
        </w:rPr>
        <w:t xml:space="preserve">, 2013; </w:t>
      </w:r>
      <w:proofErr w:type="spellStart"/>
      <w:r>
        <w:rPr>
          <w:rFonts w:ascii="Times" w:hAnsi="Times" w:cs="Times"/>
          <w:color w:val="1A1718"/>
        </w:rPr>
        <w:t>Zayas</w:t>
      </w:r>
      <w:proofErr w:type="spellEnd"/>
      <w:r>
        <w:rPr>
          <w:rFonts w:ascii="Times" w:hAnsi="Times" w:cs="Times"/>
          <w:color w:val="1A1718"/>
        </w:rPr>
        <w:t xml:space="preserve"> &amp; Cook, 2016). </w:t>
      </w:r>
    </w:p>
    <w:p w14:paraId="15A7D27B"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Fears of immigration authorities may discourage </w:t>
      </w:r>
      <w:proofErr w:type="spellStart"/>
      <w:r>
        <w:rPr>
          <w:rFonts w:ascii="Times" w:hAnsi="Times" w:cs="Times"/>
          <w:color w:val="1A1718"/>
        </w:rPr>
        <w:t>undocu</w:t>
      </w:r>
      <w:proofErr w:type="spellEnd"/>
      <w:r>
        <w:rPr>
          <w:rFonts w:ascii="Times" w:hAnsi="Times" w:cs="Times"/>
          <w:color w:val="1A1718"/>
        </w:rPr>
        <w:t xml:space="preserve">- </w:t>
      </w:r>
      <w:proofErr w:type="spellStart"/>
      <w:r>
        <w:rPr>
          <w:rFonts w:ascii="Times" w:hAnsi="Times" w:cs="Times"/>
          <w:color w:val="1A1718"/>
        </w:rPr>
        <w:t>mented</w:t>
      </w:r>
      <w:proofErr w:type="spellEnd"/>
      <w:r>
        <w:rPr>
          <w:rFonts w:ascii="Times" w:hAnsi="Times" w:cs="Times"/>
          <w:color w:val="1A1718"/>
        </w:rPr>
        <w:t xml:space="preserve"> immigrants from seeking help for employment and health services (including mental health services), from main- </w:t>
      </w:r>
      <w:proofErr w:type="spellStart"/>
      <w:r>
        <w:rPr>
          <w:rFonts w:ascii="Times" w:hAnsi="Times" w:cs="Times"/>
          <w:color w:val="1A1718"/>
        </w:rPr>
        <w:t>taining</w:t>
      </w:r>
      <w:proofErr w:type="spellEnd"/>
      <w:r>
        <w:rPr>
          <w:rFonts w:ascii="Times" w:hAnsi="Times" w:cs="Times"/>
          <w:color w:val="1A1718"/>
        </w:rPr>
        <w:t xml:space="preserve"> family and social connections, and from participating in public and educational programs which their children may be eligible for and could benefit from (e.g., child care subsidies, public preschool, food stamps; </w:t>
      </w:r>
      <w:proofErr w:type="spellStart"/>
      <w:r>
        <w:rPr>
          <w:rFonts w:ascii="Times" w:hAnsi="Times" w:cs="Times"/>
          <w:color w:val="1A1718"/>
        </w:rPr>
        <w:t>Kanaiaupuni</w:t>
      </w:r>
      <w:proofErr w:type="spellEnd"/>
      <w:r>
        <w:rPr>
          <w:rFonts w:ascii="Times" w:hAnsi="Times" w:cs="Times"/>
          <w:color w:val="1A1718"/>
        </w:rPr>
        <w:t xml:space="preserve">, 2000; Yoshikawa &amp; </w:t>
      </w:r>
      <w:proofErr w:type="spellStart"/>
      <w:r>
        <w:rPr>
          <w:rFonts w:ascii="Times" w:hAnsi="Times" w:cs="Times"/>
          <w:color w:val="1A1718"/>
        </w:rPr>
        <w:t>Kalil</w:t>
      </w:r>
      <w:proofErr w:type="spellEnd"/>
      <w:r>
        <w:rPr>
          <w:rFonts w:ascii="Times" w:hAnsi="Times" w:cs="Times"/>
          <w:color w:val="1A1718"/>
        </w:rPr>
        <w:t xml:space="preserve">, 2011) thus, increasing their isolation and vulnerability. </w:t>
      </w:r>
    </w:p>
    <w:p w14:paraId="62427958"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The literature highlights that it is not uncommon for </w:t>
      </w:r>
      <w:proofErr w:type="spellStart"/>
      <w:r>
        <w:rPr>
          <w:rFonts w:ascii="Times" w:hAnsi="Times" w:cs="Times"/>
          <w:color w:val="1A1718"/>
        </w:rPr>
        <w:t>undoc</w:t>
      </w:r>
      <w:proofErr w:type="spellEnd"/>
      <w:r>
        <w:rPr>
          <w:rFonts w:ascii="Times" w:hAnsi="Times" w:cs="Times"/>
          <w:color w:val="1A1718"/>
        </w:rPr>
        <w:t xml:space="preserve">- </w:t>
      </w:r>
      <w:proofErr w:type="spellStart"/>
      <w:r>
        <w:rPr>
          <w:rFonts w:ascii="Times" w:hAnsi="Times" w:cs="Times"/>
          <w:color w:val="1A1718"/>
        </w:rPr>
        <w:t>umented</w:t>
      </w:r>
      <w:proofErr w:type="spellEnd"/>
      <w:r>
        <w:rPr>
          <w:rFonts w:ascii="Times" w:hAnsi="Times" w:cs="Times"/>
          <w:color w:val="1A1718"/>
        </w:rPr>
        <w:t xml:space="preserve"> immigrants to feel that they are being hunted (Cavazos-</w:t>
      </w:r>
      <w:proofErr w:type="spellStart"/>
      <w:r>
        <w:rPr>
          <w:rFonts w:ascii="Times" w:hAnsi="Times" w:cs="Times"/>
          <w:color w:val="1A1718"/>
        </w:rPr>
        <w:t>Rehg</w:t>
      </w:r>
      <w:proofErr w:type="spellEnd"/>
      <w:r>
        <w:rPr>
          <w:rFonts w:ascii="Times" w:hAnsi="Times" w:cs="Times"/>
          <w:color w:val="1A1718"/>
        </w:rPr>
        <w:t xml:space="preserve"> et al., 2007) and that they are trapped and to consequently experience loneliness, disorientation, isolation, depression, sadness, and confusion (Pérez-Foster, 2001). Immigration enforcement practices, like the ones currently implemented in the U.S., are just a confirmation of some of the worst fears and fantasies in undocumented families and consequently can trigger previous traumas in children and their parents (</w:t>
      </w:r>
      <w:proofErr w:type="spellStart"/>
      <w:r>
        <w:rPr>
          <w:rFonts w:ascii="Times" w:hAnsi="Times" w:cs="Times"/>
          <w:color w:val="1A1718"/>
        </w:rPr>
        <w:t>Potochnick</w:t>
      </w:r>
      <w:proofErr w:type="spellEnd"/>
      <w:r>
        <w:rPr>
          <w:rFonts w:ascii="Times" w:hAnsi="Times" w:cs="Times"/>
          <w:color w:val="1A1718"/>
        </w:rPr>
        <w:t xml:space="preserve"> &amp; </w:t>
      </w:r>
      <w:proofErr w:type="spellStart"/>
      <w:r>
        <w:rPr>
          <w:rFonts w:ascii="Times" w:hAnsi="Times" w:cs="Times"/>
          <w:color w:val="1A1718"/>
        </w:rPr>
        <w:t>Perreira</w:t>
      </w:r>
      <w:proofErr w:type="spellEnd"/>
      <w:r>
        <w:rPr>
          <w:rFonts w:ascii="Times" w:hAnsi="Times" w:cs="Times"/>
          <w:color w:val="1A1718"/>
        </w:rPr>
        <w:t>, 2010); impact parents’ ability to be available emotionally and physically for their children; and lead to severe mental health symptoms for the entire family, especially children (Garrison,</w:t>
      </w:r>
    </w:p>
    <w:p w14:paraId="2B361BCE" w14:textId="77777777" w:rsidR="00EF4DFB" w:rsidRDefault="00EF4DFB" w:rsidP="00EF4DFB">
      <w:pPr>
        <w:widowControl w:val="0"/>
        <w:autoSpaceDE w:val="0"/>
        <w:autoSpaceDN w:val="0"/>
        <w:adjustRightInd w:val="0"/>
        <w:spacing w:line="280" w:lineRule="atLeast"/>
        <w:rPr>
          <w:rFonts w:ascii="Times" w:hAnsi="Times" w:cs="Times"/>
          <w:color w:val="000000"/>
        </w:rPr>
      </w:pPr>
      <w:r>
        <w:rPr>
          <w:rFonts w:ascii="Times" w:hAnsi="Times" w:cs="Times"/>
          <w:noProof/>
          <w:color w:val="000000"/>
        </w:rPr>
        <w:drawing>
          <wp:inline distT="0" distB="0" distL="0" distR="0" wp14:anchorId="09E18C8C" wp14:editId="2CD98385">
            <wp:extent cx="3069590" cy="1079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69590" cy="10795"/>
                    </a:xfrm>
                    <a:prstGeom prst="rect">
                      <a:avLst/>
                    </a:prstGeom>
                    <a:noFill/>
                    <a:ln>
                      <a:noFill/>
                    </a:ln>
                  </pic:spPr>
                </pic:pic>
              </a:graphicData>
            </a:graphic>
          </wp:inline>
        </w:drawing>
      </w:r>
    </w:p>
    <w:p w14:paraId="55D58AD2" w14:textId="77777777" w:rsidR="00EF4DFB" w:rsidRDefault="00EF4DFB" w:rsidP="00EF4DFB">
      <w:pPr>
        <w:widowControl w:val="0"/>
        <w:autoSpaceDE w:val="0"/>
        <w:autoSpaceDN w:val="0"/>
        <w:adjustRightInd w:val="0"/>
        <w:spacing w:line="280" w:lineRule="atLeast"/>
        <w:rPr>
          <w:rFonts w:ascii="Times" w:hAnsi="Times" w:cs="Times"/>
          <w:color w:val="1A1718"/>
        </w:rPr>
      </w:pPr>
      <w:r>
        <w:rPr>
          <w:rFonts w:ascii="Times" w:hAnsi="Times" w:cs="Times"/>
          <w:noProof/>
          <w:color w:val="000000"/>
        </w:rPr>
        <w:drawing>
          <wp:inline distT="0" distB="0" distL="0" distR="0" wp14:anchorId="2F9742AF" wp14:editId="58E60459">
            <wp:extent cx="3124200" cy="249301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24200" cy="2493010"/>
                    </a:xfrm>
                    <a:prstGeom prst="rect">
                      <a:avLst/>
                    </a:prstGeom>
                    <a:noFill/>
                    <a:ln>
                      <a:noFill/>
                    </a:ln>
                  </pic:spPr>
                </pic:pic>
              </a:graphicData>
            </a:graphic>
          </wp:inline>
        </w:drawing>
      </w:r>
      <w:r>
        <w:rPr>
          <w:rFonts w:ascii="Times" w:hAnsi="Times" w:cs="Times"/>
          <w:color w:val="1A1718"/>
        </w:rPr>
        <w:t xml:space="preserve"> </w:t>
      </w:r>
    </w:p>
    <w:p w14:paraId="7C3B8416" w14:textId="77777777" w:rsidR="00EF4DFB" w:rsidRDefault="00EF4DFB" w:rsidP="00EF4DFB">
      <w:pPr>
        <w:widowControl w:val="0"/>
        <w:autoSpaceDE w:val="0"/>
        <w:autoSpaceDN w:val="0"/>
        <w:adjustRightInd w:val="0"/>
        <w:spacing w:line="280" w:lineRule="atLeast"/>
        <w:rPr>
          <w:rFonts w:ascii="Times" w:hAnsi="Times" w:cs="Times"/>
          <w:color w:val="000000"/>
        </w:rPr>
      </w:pPr>
      <w:r>
        <w:rPr>
          <w:rFonts w:ascii="Times" w:hAnsi="Times" w:cs="Times"/>
          <w:color w:val="1A1718"/>
        </w:rPr>
        <w:t xml:space="preserve">Roy, &amp; Azar, 1999; </w:t>
      </w:r>
      <w:proofErr w:type="spellStart"/>
      <w:r>
        <w:rPr>
          <w:rFonts w:ascii="Times" w:hAnsi="Times" w:cs="Times"/>
          <w:color w:val="1A1718"/>
        </w:rPr>
        <w:t>Kanaiaupuni</w:t>
      </w:r>
      <w:proofErr w:type="spellEnd"/>
      <w:r>
        <w:rPr>
          <w:rFonts w:ascii="Times" w:hAnsi="Times" w:cs="Times"/>
          <w:color w:val="1A1718"/>
        </w:rPr>
        <w:t xml:space="preserve">, 2000). </w:t>
      </w:r>
    </w:p>
    <w:p w14:paraId="12472C1E"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A great majority of undocumented families detained and separated at the United States–Mexico border are nationals from Mexico and from the Northern Triangle (El Salvador, Guatemala, and Honduras), which is a reflection of the prevalent danger and instability in these countries (Kaltman, Hurtado de Mendoza, Gonzales, Serrano, &amp; </w:t>
      </w:r>
      <w:proofErr w:type="spellStart"/>
      <w:r>
        <w:rPr>
          <w:rFonts w:ascii="Times" w:hAnsi="Times" w:cs="Times"/>
          <w:color w:val="1A1718"/>
        </w:rPr>
        <w:t>Guarnaccia</w:t>
      </w:r>
      <w:proofErr w:type="spellEnd"/>
      <w:r>
        <w:rPr>
          <w:rFonts w:ascii="Times" w:hAnsi="Times" w:cs="Times"/>
          <w:color w:val="1A1718"/>
        </w:rPr>
        <w:t xml:space="preserve">, 2011; </w:t>
      </w:r>
      <w:proofErr w:type="spellStart"/>
      <w:r>
        <w:rPr>
          <w:rFonts w:ascii="Times" w:hAnsi="Times" w:cs="Times"/>
          <w:color w:val="1A1718"/>
        </w:rPr>
        <w:t>MacKenzie</w:t>
      </w:r>
      <w:proofErr w:type="spellEnd"/>
      <w:r>
        <w:rPr>
          <w:rFonts w:ascii="Times" w:hAnsi="Times" w:cs="Times"/>
          <w:color w:val="1A1718"/>
        </w:rPr>
        <w:t xml:space="preserve"> et al., 2017). In the case of Mexico, the escalation of violence by the drug cartels has forced families to flee within Mexico and then to the US. Regarding Central America, there are a number of studies (Goldberg, 2014) that have analyzed the factors that motivate families from the Northern Triangle to emigrate, and one of the most significant reasons is to escape the high levels of violence in the region. Violence in Latin America has its roots in a history of colonization; foreign interventionism; repeated ethnic massacres; and oppression and violence against minority communities, the elderly, women, and children. The next section provides a closer look at the socio–political and historical context of violence in the region and evidences its significance in parents’ decisions to bring their children to the United States–Mexico border despite dire circumstances. </w:t>
      </w:r>
    </w:p>
    <w:p w14:paraId="4F743292" w14:textId="77777777" w:rsidR="00EF4DFB" w:rsidRDefault="00EF4DFB" w:rsidP="00EF4DFB">
      <w:pPr>
        <w:widowControl w:val="0"/>
        <w:autoSpaceDE w:val="0"/>
        <w:autoSpaceDN w:val="0"/>
        <w:adjustRightInd w:val="0"/>
        <w:spacing w:after="240" w:line="360" w:lineRule="atLeast"/>
        <w:rPr>
          <w:rFonts w:ascii="Times" w:hAnsi="Times" w:cs="Times"/>
          <w:color w:val="000000"/>
        </w:rPr>
      </w:pPr>
      <w:r>
        <w:rPr>
          <w:rFonts w:ascii="Times" w:hAnsi="Times" w:cs="Times"/>
          <w:color w:val="0E6EB1"/>
          <w:sz w:val="32"/>
          <w:szCs w:val="32"/>
        </w:rPr>
        <w:t xml:space="preserve">Why Do Families Leave Mexico and the Northern Triangle? Push Factors </w:t>
      </w:r>
    </w:p>
    <w:p w14:paraId="37C4E34E"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Human migration is a fundamental human activity (Daniels, 2002). Waves of anti-immigrant sentiment are surprising because the United States was built by immigrants. America was not discovered but invented by the minds of Europeans who were looking for another land and stumbled upon America (O’Gorman, 2000). The continent was not “discovered” because people lived here already, but America was conceived from a Eurocentric view of the world with its inherent beliefs toward the land, its resources, and indigenous people. These beliefs led to destruction of indigenous </w:t>
      </w:r>
    </w:p>
    <w:p w14:paraId="17510021"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groups, including their cultures and languages, and their dehumanization that led to the brutality and injustice inflicted upon them and recorded in history. The perceived inferiority of the “naturals,” as Cortez called the Indians, was imbedded in the minds and the institutions of the cultures of the new nations, continues until present day, and now is expressed in covert ways as segments of the public become skilled in using coded language to hide racist views. It is a form of “racism without racists” that is particularly practical since it places the “blame on the victim” to justify their treatment and at the same time save face (Bonilla-Silva, 2013; Hartman, Newman, &amp; Bell, 2014; Mueller, 2017). The strong anti-immigrant sentiment, based on false notions about how migration affects the US, has contributed to the current restrictive and controversial immigration policies that authorities have perceived as having public support (Hartman et al., 2014). The rhetoric coming from these segments of our population defines the immigration of “certain people” as a threat to national security by describing them as dangerous rapists and criminals who come to the US </w:t>
      </w:r>
    </w:p>
    <w:p w14:paraId="197EAED5"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0E6EB1"/>
        </w:rPr>
        <w:t xml:space="preserve">Urban violence has increased in Central America and affected the living conditions of people in El Salvador, Guatemala, and Honduras. </w:t>
      </w:r>
    </w:p>
    <w:p w14:paraId="2C05E7BD"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to deplete its resources and threaten American culture. This is how families escaping from Latin America, especially those fleeing the violent Northern triangle, are currently perceived. </w:t>
      </w:r>
    </w:p>
    <w:p w14:paraId="799806A3"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The brutal act of separating caregivers from their children at the United States–Mexico border has been justified as an effort to enforce the law. However, it is important to remember the plight of these families. The US has been intimately involved in Central and South American countries, defending U.S. interests and asserting military and cultural dominance (van den </w:t>
      </w:r>
      <w:proofErr w:type="spellStart"/>
      <w:r>
        <w:rPr>
          <w:rFonts w:ascii="Times" w:hAnsi="Times" w:cs="Times"/>
          <w:color w:val="1A1718"/>
        </w:rPr>
        <w:t>Berk</w:t>
      </w:r>
      <w:proofErr w:type="spellEnd"/>
      <w:r>
        <w:rPr>
          <w:rFonts w:ascii="Times" w:hAnsi="Times" w:cs="Times"/>
          <w:color w:val="1A1718"/>
        </w:rPr>
        <w:t>, 2017). Between the years 1960 and 2000, the US provided aid that supported political violence in these countries (</w:t>
      </w:r>
      <w:proofErr w:type="spellStart"/>
      <w:r>
        <w:rPr>
          <w:rFonts w:ascii="Times" w:hAnsi="Times" w:cs="Times"/>
          <w:color w:val="1A1718"/>
        </w:rPr>
        <w:t>Buergenthal</w:t>
      </w:r>
      <w:proofErr w:type="spellEnd"/>
      <w:r>
        <w:rPr>
          <w:rFonts w:ascii="Times" w:hAnsi="Times" w:cs="Times"/>
          <w:color w:val="1A1718"/>
        </w:rPr>
        <w:t>, 1994). In addition, the US continues to be connected to Latin America through drug trafficking dynamics as the US is the primary customer of a multibillion industry driven by its suppliers: Mexican drug cartels and Central American transnational gangs which engage in bloody wars fight fiercely for control of supply routes. During President Calderon’s administration, drug violence took more than 120,000 lives in Mexico (</w:t>
      </w:r>
      <w:proofErr w:type="spellStart"/>
      <w:r>
        <w:rPr>
          <w:rFonts w:ascii="Times" w:hAnsi="Times" w:cs="Times"/>
          <w:color w:val="1A1718"/>
        </w:rPr>
        <w:t>Heinle</w:t>
      </w:r>
      <w:proofErr w:type="spellEnd"/>
      <w:r>
        <w:rPr>
          <w:rFonts w:ascii="Times" w:hAnsi="Times" w:cs="Times"/>
          <w:color w:val="1A1718"/>
        </w:rPr>
        <w:t>, Rodríguez Ferreira, &amp; Shirk, 2017). But this is not just a Mexico problem; violence associated with drugs and the gangs that profit from and traffic drugs has spread throughout Central America and has been particularly brutal in El Salvador, Guatemala, and Honduras. These countries have some of the highest homicide rates in the world, higher than Mexico (</w:t>
      </w:r>
      <w:proofErr w:type="spellStart"/>
      <w:r>
        <w:rPr>
          <w:rFonts w:ascii="Times" w:hAnsi="Times" w:cs="Times"/>
          <w:color w:val="1A1718"/>
        </w:rPr>
        <w:t>Ribando</w:t>
      </w:r>
      <w:proofErr w:type="spellEnd"/>
      <w:r>
        <w:rPr>
          <w:rFonts w:ascii="Times" w:hAnsi="Times" w:cs="Times"/>
          <w:color w:val="1A1718"/>
        </w:rPr>
        <w:t xml:space="preserve"> </w:t>
      </w:r>
      <w:proofErr w:type="spellStart"/>
      <w:r>
        <w:rPr>
          <w:rFonts w:ascii="Times" w:hAnsi="Times" w:cs="Times"/>
          <w:color w:val="1A1718"/>
        </w:rPr>
        <w:t>Seelke</w:t>
      </w:r>
      <w:proofErr w:type="spellEnd"/>
      <w:r>
        <w:rPr>
          <w:rFonts w:ascii="Times" w:hAnsi="Times" w:cs="Times"/>
          <w:color w:val="1A1718"/>
        </w:rPr>
        <w:t>, 2011). Central America is more vulnerable to violence due to the proliferation of illicit firearms as a result of prolonged armed conflicts, historical trauma, high unemployment rates, and growing youth populations. Central America is also located between the largest drug producing countries in the world and the trafficking routes to Mexico and eventually the U.S. (</w:t>
      </w:r>
      <w:proofErr w:type="spellStart"/>
      <w:r>
        <w:rPr>
          <w:rFonts w:ascii="Times" w:hAnsi="Times" w:cs="Times"/>
          <w:color w:val="1A1718"/>
        </w:rPr>
        <w:t>Ribando</w:t>
      </w:r>
      <w:proofErr w:type="spellEnd"/>
      <w:r>
        <w:rPr>
          <w:rFonts w:ascii="Times" w:hAnsi="Times" w:cs="Times"/>
          <w:color w:val="1A1718"/>
        </w:rPr>
        <w:t xml:space="preserve"> </w:t>
      </w:r>
      <w:proofErr w:type="spellStart"/>
      <w:r>
        <w:rPr>
          <w:rFonts w:ascii="Times" w:hAnsi="Times" w:cs="Times"/>
          <w:color w:val="1A1718"/>
        </w:rPr>
        <w:t>Seelke</w:t>
      </w:r>
      <w:proofErr w:type="spellEnd"/>
      <w:r>
        <w:rPr>
          <w:rFonts w:ascii="Times" w:hAnsi="Times" w:cs="Times"/>
          <w:color w:val="1A1718"/>
        </w:rPr>
        <w:t xml:space="preserve">, 2011). </w:t>
      </w:r>
    </w:p>
    <w:p w14:paraId="58439845"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Urban violence has increased in Central America and affected the living conditions of people in El Salvador, Guatemala, and Honduras. The fight between gangs over territorial control is ongoing and has eroded the economies and the social fabric of those communities (Medina, 2014). Families leave not only to search for better economic opportunities but </w:t>
      </w:r>
      <w:proofErr w:type="gramStart"/>
      <w:r>
        <w:rPr>
          <w:rFonts w:ascii="Times" w:hAnsi="Times" w:cs="Times"/>
          <w:color w:val="1A1718"/>
        </w:rPr>
        <w:t>also</w:t>
      </w:r>
      <w:proofErr w:type="gramEnd"/>
      <w:r>
        <w:rPr>
          <w:rFonts w:ascii="Times" w:hAnsi="Times" w:cs="Times"/>
          <w:color w:val="1A1718"/>
        </w:rPr>
        <w:t xml:space="preserve"> to survive (U.S. Conference of Catholic Bishops, 2014). Many parents migrate to prevent their young girls from being raped (UNHCR, 2015) or their young men from being killed or recruited by the gangs. For many, migration is the only option. Some families seem to prefer the dangers inherent in the long journey from Central America to the US over the insecurity they face at home (Medina, 2014). These dangers are too many to describe in this article, but they include financial exploitation by traffickers and bribes, physical and </w:t>
      </w:r>
    </w:p>
    <w:p w14:paraId="34356F0D"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In the antebellum period (1800–1860), people who were enslaved lived under the consistent threat of family separation. Young slaves were often exchanged as gifts or given as a part of an estate when an estate needed to be divided. Other times, slaves could be sold in long-distance sales that would physically divide the families across the country. Further, if families were spared from separation they, nonetheless, felt the daily stress of the possibility of separation (West, 1999). This prolonged anxiety and fear most likely caused physiological changes to the body that place slaves and descendants of slaves at higher risk of stress-related diseases. In the 1880s and 1930s, the </w:t>
      </w:r>
    </w:p>
    <w:p w14:paraId="00F2135A"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sexual assault, physical deprivation, harassment and discrimination, and sometimes death. Families who cross the border face severe trauma pre-migration and are willing to experience numerous additional risks to seek safety for their children; however, these children are now enduring further trauma by being unnecessarily separated indefinitely from their parents. </w:t>
      </w:r>
    </w:p>
    <w:p w14:paraId="61DD1E10" w14:textId="77777777" w:rsidR="00EF4DFB" w:rsidRDefault="00EF4DFB" w:rsidP="00EF4DFB">
      <w:pPr>
        <w:widowControl w:val="0"/>
        <w:autoSpaceDE w:val="0"/>
        <w:autoSpaceDN w:val="0"/>
        <w:adjustRightInd w:val="0"/>
        <w:spacing w:after="240" w:line="360" w:lineRule="atLeast"/>
        <w:rPr>
          <w:rFonts w:ascii="Times" w:hAnsi="Times" w:cs="Times"/>
          <w:color w:val="000000"/>
        </w:rPr>
      </w:pPr>
      <w:r>
        <w:rPr>
          <w:rFonts w:ascii="Times" w:hAnsi="Times" w:cs="Times"/>
          <w:i/>
          <w:iCs/>
          <w:color w:val="0E6EB1"/>
          <w:sz w:val="32"/>
          <w:szCs w:val="32"/>
        </w:rPr>
        <w:t xml:space="preserve">Immigration has deep effects on the overall health and well-being of youth and adults, including their mental health functioning. </w:t>
      </w:r>
    </w:p>
    <w:p w14:paraId="7AD738C2"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U.S. government implemented a new family separation policy, but this time the policies impacted Native Americans. Children were removed from their homes to attend boarding schools where they were not permitted to participate </w:t>
      </w:r>
    </w:p>
    <w:p w14:paraId="2DA953D4"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in traditional practices or speak the languages they had grown up speaking (Evans-Campbell, 2008; Evans-Campbell, Walters, Pearson, &amp; Campbell, 2012; </w:t>
      </w:r>
    </w:p>
    <w:p w14:paraId="5401AE7A"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Based on what was expounded above, it seems that there needs to be increased awareness at the institutional and societal levels of the United States’ historical debt with the countries mentioned above. “Rather than emphasizing that the risk families navigate on their journey reflect a parents’ dangerous choice, the Department of Homeland Security (DHS) could more helpfully focus on the violence and instability that so many of these families are fleeing” (</w:t>
      </w:r>
      <w:proofErr w:type="spellStart"/>
      <w:r>
        <w:rPr>
          <w:rFonts w:ascii="Times" w:hAnsi="Times" w:cs="Times"/>
          <w:color w:val="1A1718"/>
        </w:rPr>
        <w:t>MacKenzie</w:t>
      </w:r>
      <w:proofErr w:type="spellEnd"/>
      <w:r>
        <w:rPr>
          <w:rFonts w:ascii="Times" w:hAnsi="Times" w:cs="Times"/>
          <w:color w:val="1A1718"/>
        </w:rPr>
        <w:t xml:space="preserve"> </w:t>
      </w:r>
    </w:p>
    <w:p w14:paraId="5F8F5C94"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et al., 2017, p. 2314) and implement policies in a more humane way. </w:t>
      </w:r>
    </w:p>
    <w:p w14:paraId="19DF86F0"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Separating families as a mechanism of control of diverse racial and ethnic groups is not new in the history of the US, or in the history of immigrants in the US, and we propose that recent enforcement activities, directed at frightening and frag- </w:t>
      </w:r>
      <w:proofErr w:type="spellStart"/>
      <w:r>
        <w:rPr>
          <w:rFonts w:ascii="Times" w:hAnsi="Times" w:cs="Times"/>
          <w:color w:val="1A1718"/>
        </w:rPr>
        <w:t>menting</w:t>
      </w:r>
      <w:proofErr w:type="spellEnd"/>
      <w:r>
        <w:rPr>
          <w:rFonts w:ascii="Times" w:hAnsi="Times" w:cs="Times"/>
          <w:color w:val="1A1718"/>
        </w:rPr>
        <w:t xml:space="preserve"> immigrant families, embody echoes of unresolved historical wounds. </w:t>
      </w:r>
    </w:p>
    <w:p w14:paraId="2F48719E" w14:textId="77777777" w:rsidR="00EF4DFB" w:rsidRDefault="00EF4DFB" w:rsidP="00EF4DFB">
      <w:pPr>
        <w:widowControl w:val="0"/>
        <w:autoSpaceDE w:val="0"/>
        <w:autoSpaceDN w:val="0"/>
        <w:adjustRightInd w:val="0"/>
        <w:spacing w:after="240" w:line="360" w:lineRule="atLeast"/>
        <w:rPr>
          <w:rFonts w:ascii="Times" w:hAnsi="Times" w:cs="Times"/>
          <w:color w:val="000000"/>
        </w:rPr>
      </w:pPr>
      <w:r>
        <w:rPr>
          <w:rFonts w:ascii="Times" w:hAnsi="Times" w:cs="Times"/>
          <w:color w:val="0E6EB1"/>
          <w:sz w:val="32"/>
          <w:szCs w:val="32"/>
        </w:rPr>
        <w:t xml:space="preserve">Echoes </w:t>
      </w:r>
      <w:proofErr w:type="gramStart"/>
      <w:r>
        <w:rPr>
          <w:rFonts w:ascii="Times" w:hAnsi="Times" w:cs="Times"/>
          <w:color w:val="0E6EB1"/>
          <w:sz w:val="32"/>
          <w:szCs w:val="32"/>
        </w:rPr>
        <w:t>From</w:t>
      </w:r>
      <w:proofErr w:type="gramEnd"/>
      <w:r>
        <w:rPr>
          <w:rFonts w:ascii="Times" w:hAnsi="Times" w:cs="Times"/>
          <w:color w:val="0E6EB1"/>
          <w:sz w:val="32"/>
          <w:szCs w:val="32"/>
        </w:rPr>
        <w:t xml:space="preserve"> the Past and Forced Family Separations </w:t>
      </w:r>
    </w:p>
    <w:p w14:paraId="093B785E"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While the separation of families migrating from south of the border has received extensive media attention, the Trump administration are not the first actors in U.S. history to implement practices of removing the most vulnerable children from their families. Prior to the current situation, 19th and 20th century U.S. policies violently separated people from their families to be sold into slavery and then separated Native American school-age children from their parents. The oppressive mechanisms of fear and family fractures have been used since the early 19th century to control populations and perpetuate fear, all in the context of a prolonged and multigenerational history of struggle and pain. </w:t>
      </w:r>
    </w:p>
    <w:p w14:paraId="498569F1"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Hummingbird, 2011). More recent studies have found that the impacts of this forcible separation to boarding schools include higher incidence of substance use disorders, depressive and anxiety related issues, suicidality, and severe post-traumatic stress disorder when compared to Native American children who remained with their families and did not attend boarding schools (Evans-Campbell et al., 2012; Hummingbird, 2011). These symptomatic responses have been attributed to a loss of relationships and connection to culture, the internalization of negative self-identity, and historical traumatic experiences. </w:t>
      </w:r>
    </w:p>
    <w:p w14:paraId="1E3E1A72"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Forcible separations of young children in migrant families represent the purposeful and systematic utilization of fear and pain by those in power, to control and subjugate a target population; thus, they constitute a re-enactment, a modern expression, a perpetuation of historical trauma experiences that were previously inflicted to other vulnerable groups in the US. </w:t>
      </w:r>
    </w:p>
    <w:p w14:paraId="4F893D5D"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Historical trauma refers to a “cumulative and psychological wounding, as a result of group traumatic experiences, trans- mitted across generations within a community (Substance Abuse and Mental Health Services Administration, 2016; Yehuda et al., 2016)” (National Child Traumatic Stress Network, [NCTSN] 2017, p. 2). These experiences include traumatic events executed by dominant groups that were usually directed to a particular population as a result of a specific diversity </w:t>
      </w:r>
      <w:proofErr w:type="spellStart"/>
      <w:r>
        <w:rPr>
          <w:rFonts w:ascii="Times" w:hAnsi="Times" w:cs="Times"/>
          <w:color w:val="1A1718"/>
        </w:rPr>
        <w:t>charac</w:t>
      </w:r>
      <w:proofErr w:type="spellEnd"/>
      <w:r>
        <w:rPr>
          <w:rFonts w:ascii="Times" w:hAnsi="Times" w:cs="Times"/>
          <w:color w:val="1A1718"/>
        </w:rPr>
        <w:t xml:space="preserve">- </w:t>
      </w:r>
      <w:proofErr w:type="spellStart"/>
      <w:r>
        <w:rPr>
          <w:rFonts w:ascii="Times" w:hAnsi="Times" w:cs="Times"/>
          <w:color w:val="1A1718"/>
        </w:rPr>
        <w:t>teristic</w:t>
      </w:r>
      <w:proofErr w:type="spellEnd"/>
      <w:r>
        <w:rPr>
          <w:rFonts w:ascii="Times" w:hAnsi="Times" w:cs="Times"/>
          <w:color w:val="1A1718"/>
        </w:rPr>
        <w:t xml:space="preserve"> of that group (e.g., race, ethnicity, religion, nationality, immigration status, gender, or sexuality; Hooker &amp; </w:t>
      </w:r>
      <w:proofErr w:type="spellStart"/>
      <w:r>
        <w:rPr>
          <w:rFonts w:ascii="Times" w:hAnsi="Times" w:cs="Times"/>
          <w:color w:val="1A1718"/>
        </w:rPr>
        <w:t>Czajkowski</w:t>
      </w:r>
      <w:proofErr w:type="spellEnd"/>
      <w:r>
        <w:rPr>
          <w:rFonts w:ascii="Times" w:hAnsi="Times" w:cs="Times"/>
          <w:color w:val="1A1718"/>
        </w:rPr>
        <w:t xml:space="preserve">, 2007; Lewis, </w:t>
      </w:r>
      <w:proofErr w:type="spellStart"/>
      <w:r>
        <w:rPr>
          <w:rFonts w:ascii="Times" w:hAnsi="Times" w:cs="Times"/>
          <w:color w:val="1A1718"/>
        </w:rPr>
        <w:t>Noroña</w:t>
      </w:r>
      <w:proofErr w:type="spellEnd"/>
      <w:r>
        <w:rPr>
          <w:rFonts w:ascii="Times" w:hAnsi="Times" w:cs="Times"/>
          <w:color w:val="1A1718"/>
        </w:rPr>
        <w:t xml:space="preserve">, McConnico, &amp; Thomas, 2013; National Child Traumatic Stress Network, 2012; </w:t>
      </w:r>
      <w:proofErr w:type="spellStart"/>
      <w:r>
        <w:rPr>
          <w:rFonts w:ascii="Times" w:hAnsi="Times" w:cs="Times"/>
          <w:color w:val="1A1718"/>
        </w:rPr>
        <w:t>Sotero</w:t>
      </w:r>
      <w:proofErr w:type="spellEnd"/>
      <w:r>
        <w:rPr>
          <w:rFonts w:ascii="Times" w:hAnsi="Times" w:cs="Times"/>
          <w:color w:val="1A1718"/>
        </w:rPr>
        <w:t xml:space="preserve"> 2006). The long- term and prolonged impact of historical trauma influences both physical health and mental health of entire populations (</w:t>
      </w:r>
      <w:proofErr w:type="spellStart"/>
      <w:r>
        <w:rPr>
          <w:rFonts w:ascii="Times" w:hAnsi="Times" w:cs="Times"/>
          <w:color w:val="1A1718"/>
        </w:rPr>
        <w:t>Mohatt</w:t>
      </w:r>
      <w:proofErr w:type="spellEnd"/>
      <w:r>
        <w:rPr>
          <w:rFonts w:ascii="Times" w:hAnsi="Times" w:cs="Times"/>
          <w:color w:val="1A1718"/>
        </w:rPr>
        <w:t xml:space="preserve">, Thompson, Thai, &amp; </w:t>
      </w:r>
      <w:proofErr w:type="spellStart"/>
      <w:r>
        <w:rPr>
          <w:rFonts w:ascii="Times" w:hAnsi="Times" w:cs="Times"/>
          <w:color w:val="1A1718"/>
        </w:rPr>
        <w:t>Tebes</w:t>
      </w:r>
      <w:proofErr w:type="spellEnd"/>
      <w:r>
        <w:rPr>
          <w:rFonts w:ascii="Times" w:hAnsi="Times" w:cs="Times"/>
          <w:color w:val="1A1718"/>
        </w:rPr>
        <w:t xml:space="preserve">, 2014; </w:t>
      </w:r>
      <w:proofErr w:type="spellStart"/>
      <w:r>
        <w:rPr>
          <w:rFonts w:ascii="Times" w:hAnsi="Times" w:cs="Times"/>
          <w:color w:val="1A1718"/>
        </w:rPr>
        <w:t>Sotero</w:t>
      </w:r>
      <w:proofErr w:type="spellEnd"/>
      <w:r>
        <w:rPr>
          <w:rFonts w:ascii="Times" w:hAnsi="Times" w:cs="Times"/>
          <w:color w:val="1A1718"/>
        </w:rPr>
        <w:t xml:space="preserve">, 2006). Exam- </w:t>
      </w:r>
      <w:proofErr w:type="spellStart"/>
      <w:r>
        <w:rPr>
          <w:rFonts w:ascii="Times" w:hAnsi="Times" w:cs="Times"/>
          <w:color w:val="1A1718"/>
        </w:rPr>
        <w:t>ples</w:t>
      </w:r>
      <w:proofErr w:type="spellEnd"/>
      <w:r>
        <w:rPr>
          <w:rFonts w:ascii="Times" w:hAnsi="Times" w:cs="Times"/>
          <w:color w:val="1A1718"/>
        </w:rPr>
        <w:t xml:space="preserve"> of historical trauma experiences include political violence, genocide, systematic family fragmentation, rape, generations of structural inequities, and discrimination based on group mem- </w:t>
      </w:r>
      <w:proofErr w:type="spellStart"/>
      <w:r>
        <w:rPr>
          <w:rFonts w:ascii="Times" w:hAnsi="Times" w:cs="Times"/>
          <w:color w:val="1A1718"/>
        </w:rPr>
        <w:t>bership</w:t>
      </w:r>
      <w:proofErr w:type="spellEnd"/>
      <w:r>
        <w:rPr>
          <w:rFonts w:ascii="Times" w:hAnsi="Times" w:cs="Times"/>
          <w:color w:val="1A1718"/>
        </w:rPr>
        <w:t xml:space="preserve"> (Duran, Duran, &amp; Brave Heart, 1998; </w:t>
      </w:r>
      <w:proofErr w:type="spellStart"/>
      <w:r>
        <w:rPr>
          <w:rFonts w:ascii="Times" w:hAnsi="Times" w:cs="Times"/>
          <w:color w:val="1A1718"/>
        </w:rPr>
        <w:t>Eyerman</w:t>
      </w:r>
      <w:proofErr w:type="spellEnd"/>
      <w:r>
        <w:rPr>
          <w:rFonts w:ascii="Times" w:hAnsi="Times" w:cs="Times"/>
          <w:color w:val="1A1718"/>
        </w:rPr>
        <w:t xml:space="preserve">, 2004; </w:t>
      </w:r>
    </w:p>
    <w:p w14:paraId="409FD8BF" w14:textId="77777777" w:rsidR="00EF4DFB" w:rsidRDefault="00EF4DFB" w:rsidP="00EF4DFB">
      <w:pPr>
        <w:widowControl w:val="0"/>
        <w:autoSpaceDE w:val="0"/>
        <w:autoSpaceDN w:val="0"/>
        <w:adjustRightInd w:val="0"/>
        <w:spacing w:line="280" w:lineRule="atLeast"/>
        <w:rPr>
          <w:rFonts w:ascii="Times" w:hAnsi="Times" w:cs="Times"/>
          <w:color w:val="000000"/>
        </w:rPr>
      </w:pPr>
      <w:r>
        <w:rPr>
          <w:rFonts w:ascii="Times" w:hAnsi="Times" w:cs="Times"/>
          <w:noProof/>
          <w:color w:val="000000"/>
        </w:rPr>
        <w:drawing>
          <wp:inline distT="0" distB="0" distL="0" distR="0" wp14:anchorId="0B419CD5" wp14:editId="6F2A4A54">
            <wp:extent cx="3124200" cy="240601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24200" cy="2406015"/>
                    </a:xfrm>
                    <a:prstGeom prst="rect">
                      <a:avLst/>
                    </a:prstGeom>
                    <a:noFill/>
                    <a:ln>
                      <a:noFill/>
                    </a:ln>
                  </pic:spPr>
                </pic:pic>
              </a:graphicData>
            </a:graphic>
          </wp:inline>
        </w:drawing>
      </w:r>
    </w:p>
    <w:p w14:paraId="4F4AE204"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Healey, 2013; Hooker &amp; </w:t>
      </w:r>
      <w:proofErr w:type="spellStart"/>
      <w:r>
        <w:rPr>
          <w:rFonts w:ascii="Times" w:hAnsi="Times" w:cs="Times"/>
          <w:color w:val="1A1718"/>
        </w:rPr>
        <w:t>Czajkowski</w:t>
      </w:r>
      <w:proofErr w:type="spellEnd"/>
      <w:r>
        <w:rPr>
          <w:rFonts w:ascii="Times" w:hAnsi="Times" w:cs="Times"/>
          <w:color w:val="1A1718"/>
        </w:rPr>
        <w:t xml:space="preserve">, 2007; Lewis et al., 2013; </w:t>
      </w:r>
      <w:proofErr w:type="spellStart"/>
      <w:r>
        <w:rPr>
          <w:rFonts w:ascii="Times" w:hAnsi="Times" w:cs="Times"/>
          <w:color w:val="1A1718"/>
        </w:rPr>
        <w:t>Sotero</w:t>
      </w:r>
      <w:proofErr w:type="spellEnd"/>
      <w:r>
        <w:rPr>
          <w:rFonts w:ascii="Times" w:hAnsi="Times" w:cs="Times"/>
          <w:color w:val="1A1718"/>
        </w:rPr>
        <w:t xml:space="preserve">, 2006). The reverberations of these experiences, if not processed, can be transmitted across generations in the form of traumatic stress and other symptoms and have continued effects at the individual, family, institutional, and community levels involving not only the oppressed groups but those who are oppressors and those who are bystanders (Hooker &amp; </w:t>
      </w:r>
      <w:proofErr w:type="spellStart"/>
      <w:r>
        <w:rPr>
          <w:rFonts w:ascii="Times" w:hAnsi="Times" w:cs="Times"/>
          <w:color w:val="1A1718"/>
        </w:rPr>
        <w:t>Cza</w:t>
      </w:r>
      <w:proofErr w:type="spellEnd"/>
      <w:r>
        <w:rPr>
          <w:rFonts w:ascii="Times" w:hAnsi="Times" w:cs="Times"/>
          <w:color w:val="1A1718"/>
        </w:rPr>
        <w:t xml:space="preserve">- </w:t>
      </w:r>
      <w:proofErr w:type="spellStart"/>
      <w:r>
        <w:rPr>
          <w:rFonts w:ascii="Times" w:hAnsi="Times" w:cs="Times"/>
          <w:color w:val="1A1718"/>
        </w:rPr>
        <w:t>jkowski</w:t>
      </w:r>
      <w:proofErr w:type="spellEnd"/>
      <w:r>
        <w:rPr>
          <w:rFonts w:ascii="Times" w:hAnsi="Times" w:cs="Times"/>
          <w:color w:val="1A1718"/>
        </w:rPr>
        <w:t xml:space="preserve">, 2007). “The impact is not only about what happened in the past, but also about what is still happening in the present to target a group of people or actions by others that serve as reminders of historical targeting (NCTSN et al., 2017, p. 2)”; (Evans-Campbell, 2008). </w:t>
      </w:r>
    </w:p>
    <w:p w14:paraId="06CD8A00"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As was mentioned previously, the lasting legacies of historical trauma of an identified group have implications for the </w:t>
      </w:r>
      <w:proofErr w:type="spellStart"/>
      <w:r>
        <w:rPr>
          <w:rFonts w:ascii="Times" w:hAnsi="Times" w:cs="Times"/>
          <w:color w:val="1A1718"/>
        </w:rPr>
        <w:t>physi</w:t>
      </w:r>
      <w:proofErr w:type="spellEnd"/>
      <w:r>
        <w:rPr>
          <w:rFonts w:ascii="Times" w:hAnsi="Times" w:cs="Times"/>
          <w:color w:val="1A1718"/>
        </w:rPr>
        <w:t xml:space="preserve">- </w:t>
      </w:r>
      <w:proofErr w:type="spellStart"/>
      <w:r>
        <w:rPr>
          <w:rFonts w:ascii="Times" w:hAnsi="Times" w:cs="Times"/>
          <w:color w:val="1A1718"/>
        </w:rPr>
        <w:t>cal</w:t>
      </w:r>
      <w:proofErr w:type="spellEnd"/>
      <w:r>
        <w:rPr>
          <w:rFonts w:ascii="Times" w:hAnsi="Times" w:cs="Times"/>
          <w:color w:val="1A1718"/>
        </w:rPr>
        <w:t xml:space="preserve">, social, and psychological health of individuals, families, and communities. At the individual level, these may be expressed through inherited biological changes in the stress response (Evans-Campbell, 2008). At the family level, these may manifest through parent–child relationships in a variety of ways that </w:t>
      </w:r>
    </w:p>
    <w:p w14:paraId="1633CD9C"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can impact young children’s outcomes (e.g., specific develop- mental expectations and socializations patterns that may be no longer adaptive; the intergenerational transmission of trauma through heightened levels of stress and neglectful and abusive patterns in the attachment relationships or through secrecy; Lewis &amp; Ghosh </w:t>
      </w:r>
      <w:proofErr w:type="spellStart"/>
      <w:r>
        <w:rPr>
          <w:rFonts w:ascii="Times" w:hAnsi="Times" w:cs="Times"/>
          <w:color w:val="1A1718"/>
        </w:rPr>
        <w:t>Ippen</w:t>
      </w:r>
      <w:proofErr w:type="spellEnd"/>
      <w:r>
        <w:rPr>
          <w:rFonts w:ascii="Times" w:hAnsi="Times" w:cs="Times"/>
          <w:color w:val="1A1718"/>
        </w:rPr>
        <w:t xml:space="preserve">, 2014; Lewis et al., 2013; </w:t>
      </w:r>
      <w:proofErr w:type="spellStart"/>
      <w:r>
        <w:rPr>
          <w:rFonts w:ascii="Times" w:hAnsi="Times" w:cs="Times"/>
          <w:color w:val="1A1718"/>
        </w:rPr>
        <w:t>Sotero</w:t>
      </w:r>
      <w:proofErr w:type="spellEnd"/>
      <w:r>
        <w:rPr>
          <w:rFonts w:ascii="Times" w:hAnsi="Times" w:cs="Times"/>
          <w:color w:val="1A1718"/>
        </w:rPr>
        <w:t xml:space="preserve">, 2006). </w:t>
      </w:r>
    </w:p>
    <w:p w14:paraId="5C63A892"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At the community level, the impact of historical trauma may manifest through ongoing community exposure to oppression and inequities including racial trauma, discrimination, and fear (Ghosh </w:t>
      </w:r>
      <w:proofErr w:type="spellStart"/>
      <w:r>
        <w:rPr>
          <w:rFonts w:ascii="Times" w:hAnsi="Times" w:cs="Times"/>
          <w:color w:val="1A1718"/>
        </w:rPr>
        <w:t>Ippen</w:t>
      </w:r>
      <w:proofErr w:type="spellEnd"/>
      <w:r>
        <w:rPr>
          <w:rFonts w:ascii="Times" w:hAnsi="Times" w:cs="Times"/>
          <w:color w:val="1A1718"/>
        </w:rPr>
        <w:t xml:space="preserve">, in press), systems of care where surreptitious patterns of injustice get reproduced with families. </w:t>
      </w:r>
    </w:p>
    <w:p w14:paraId="7646CD24"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From this perspective, “the legacies from enslavement of </w:t>
      </w:r>
      <w:proofErr w:type="spellStart"/>
      <w:r>
        <w:rPr>
          <w:rFonts w:ascii="Times" w:hAnsi="Times" w:cs="Times"/>
          <w:color w:val="1A1718"/>
        </w:rPr>
        <w:t>Afri</w:t>
      </w:r>
      <w:proofErr w:type="spellEnd"/>
      <w:r>
        <w:rPr>
          <w:rFonts w:ascii="Times" w:hAnsi="Times" w:cs="Times"/>
          <w:color w:val="1A1718"/>
        </w:rPr>
        <w:t xml:space="preserve">- can Americans and the displacement and murder of American Indians” (NCTSN, 2017, p. 2) have not only been transferred to current descendants of these targeted groups, but they have affected society and institutions. These legacies are currently reproducing historical patterns of control and oppression with young immigrant children and their families who already carry the legacies of historical trauma from their own countries. </w:t>
      </w:r>
    </w:p>
    <w:p w14:paraId="1538D1B2"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The impact of historically traumatic events which </w:t>
      </w:r>
      <w:proofErr w:type="spellStart"/>
      <w:r>
        <w:rPr>
          <w:rFonts w:ascii="Times" w:hAnsi="Times" w:cs="Times"/>
          <w:color w:val="1A1718"/>
        </w:rPr>
        <w:t>uncon</w:t>
      </w:r>
      <w:proofErr w:type="spellEnd"/>
      <w:r>
        <w:rPr>
          <w:rFonts w:ascii="Times" w:hAnsi="Times" w:cs="Times"/>
          <w:color w:val="1A1718"/>
        </w:rPr>
        <w:t xml:space="preserve">- </w:t>
      </w:r>
      <w:proofErr w:type="spellStart"/>
      <w:r>
        <w:rPr>
          <w:rFonts w:ascii="Times" w:hAnsi="Times" w:cs="Times"/>
          <w:color w:val="1A1718"/>
        </w:rPr>
        <w:t>sciously</w:t>
      </w:r>
      <w:proofErr w:type="spellEnd"/>
      <w:r>
        <w:rPr>
          <w:rFonts w:ascii="Times" w:hAnsi="Times" w:cs="Times"/>
          <w:color w:val="1A1718"/>
        </w:rPr>
        <w:t xml:space="preserve"> transcend many generations of Latino immigrants attempting to cross the border, in tandem with the experience of family separation, is likely creating a detrimental physical and mental health impact. </w:t>
      </w:r>
    </w:p>
    <w:p w14:paraId="3FD157A1"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In the US, the decision to separate children from their families usually constitutes a last resort used by the state to protect them from maltreatment by family members (</w:t>
      </w:r>
      <w:proofErr w:type="spellStart"/>
      <w:r>
        <w:rPr>
          <w:rFonts w:ascii="Times" w:hAnsi="Times" w:cs="Times"/>
          <w:color w:val="1A1718"/>
        </w:rPr>
        <w:t>MacKenzie</w:t>
      </w:r>
      <w:proofErr w:type="spellEnd"/>
      <w:r>
        <w:rPr>
          <w:rFonts w:ascii="Times" w:hAnsi="Times" w:cs="Times"/>
          <w:color w:val="1A1718"/>
        </w:rPr>
        <w:t> et al., 2017). Hence, it is extremely concerning that presently thousands of the most vulnerable children and families are systematically endangered by the U.S. government in order to discourage other families from crossing the border (</w:t>
      </w:r>
      <w:proofErr w:type="spellStart"/>
      <w:r>
        <w:rPr>
          <w:rFonts w:ascii="Times" w:hAnsi="Times" w:cs="Times"/>
          <w:color w:val="1A1718"/>
        </w:rPr>
        <w:t>MacKenzie</w:t>
      </w:r>
      <w:proofErr w:type="spellEnd"/>
      <w:r>
        <w:rPr>
          <w:rFonts w:ascii="Times" w:hAnsi="Times" w:cs="Times"/>
          <w:color w:val="1A1718"/>
        </w:rPr>
        <w:t xml:space="preserve"> et al., 2017). </w:t>
      </w:r>
    </w:p>
    <w:p w14:paraId="5D1B9DA5"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The situation of these children constitutes a humanitarian crisis that cannot be minimized or ignored, and developmentally appropriate and equitable solutions cannot be postponed. </w:t>
      </w:r>
    </w:p>
    <w:p w14:paraId="077B9AD6"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0E6EB1"/>
        </w:rPr>
        <w:t xml:space="preserve">Families who cross the border face severe trauma pre-migration and are willing to experience numerous additional risks to seek safety for their children. </w:t>
      </w:r>
    </w:p>
    <w:p w14:paraId="2BEFB9B1"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By respecting and honoring the rights of these families, we believe that the US and its people can have the opportunity to begin breaking the legacies of abuse, racism, and oppression toward underprivileged groups. This journey toward </w:t>
      </w:r>
      <w:proofErr w:type="spellStart"/>
      <w:r>
        <w:rPr>
          <w:rFonts w:ascii="Times" w:hAnsi="Times" w:cs="Times"/>
          <w:color w:val="1A1718"/>
        </w:rPr>
        <w:t>repara</w:t>
      </w:r>
      <w:proofErr w:type="spellEnd"/>
      <w:r>
        <w:rPr>
          <w:rFonts w:ascii="Times" w:hAnsi="Times" w:cs="Times"/>
          <w:color w:val="1A1718"/>
        </w:rPr>
        <w:t xml:space="preserve">- </w:t>
      </w:r>
      <w:proofErr w:type="spellStart"/>
      <w:r>
        <w:rPr>
          <w:rFonts w:ascii="Times" w:hAnsi="Times" w:cs="Times"/>
          <w:color w:val="1A1718"/>
        </w:rPr>
        <w:t>tion</w:t>
      </w:r>
      <w:proofErr w:type="spellEnd"/>
      <w:r>
        <w:rPr>
          <w:rFonts w:ascii="Times" w:hAnsi="Times" w:cs="Times"/>
          <w:color w:val="1A1718"/>
        </w:rPr>
        <w:t xml:space="preserve"> and healing may start by: (a) Immediately interrupting the separation of families and expediting the reunification of the ones already fragmented; (b) incorporating an understanding of how historical trauma has shaped present days’ interactions toward disenfranchised groups; (c) creating a narrative that acknowledges past harms to these groups, and offers hope and restitution; (d) and developing care arrangements for children and families that offer alternatives to detention in the asylum and migration context (United Nations High Commission for Refugees, 2017). </w:t>
      </w:r>
    </w:p>
    <w:p w14:paraId="26B38CC0"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There is also evidence that the immigration policies not only impact undocumented immigrants, but also documented ones and even citizens and communities (</w:t>
      </w:r>
      <w:proofErr w:type="spellStart"/>
      <w:r>
        <w:rPr>
          <w:rFonts w:ascii="Times" w:hAnsi="Times" w:cs="Times"/>
          <w:color w:val="1A1718"/>
        </w:rPr>
        <w:t>Brabeck</w:t>
      </w:r>
      <w:proofErr w:type="spellEnd"/>
      <w:r>
        <w:rPr>
          <w:rFonts w:ascii="Times" w:hAnsi="Times" w:cs="Times"/>
          <w:color w:val="1A1718"/>
        </w:rPr>
        <w:t xml:space="preserve">, </w:t>
      </w:r>
      <w:proofErr w:type="spellStart"/>
      <w:r>
        <w:rPr>
          <w:rFonts w:ascii="Times" w:hAnsi="Times" w:cs="Times"/>
          <w:color w:val="1A1718"/>
        </w:rPr>
        <w:t>Lykes</w:t>
      </w:r>
      <w:proofErr w:type="spellEnd"/>
      <w:r>
        <w:rPr>
          <w:rFonts w:ascii="Times" w:hAnsi="Times" w:cs="Times"/>
          <w:color w:val="1A1718"/>
        </w:rPr>
        <w:t xml:space="preserve">, &amp; Hunter, 2014). Countries with more inclusive and supporting immigration policies have better outcomes on general indicators of health and mental health in young populations (Marks, McKenna, &amp; </w:t>
      </w:r>
      <w:proofErr w:type="spellStart"/>
      <w:r>
        <w:rPr>
          <w:rFonts w:ascii="Times" w:hAnsi="Times" w:cs="Times"/>
          <w:color w:val="1A1718"/>
        </w:rPr>
        <w:t>García</w:t>
      </w:r>
      <w:proofErr w:type="spellEnd"/>
      <w:r>
        <w:rPr>
          <w:rFonts w:ascii="Times" w:hAnsi="Times" w:cs="Times"/>
          <w:color w:val="1A1718"/>
        </w:rPr>
        <w:t xml:space="preserve"> </w:t>
      </w:r>
      <w:proofErr w:type="spellStart"/>
      <w:r>
        <w:rPr>
          <w:rFonts w:ascii="Times" w:hAnsi="Times" w:cs="Times"/>
          <w:color w:val="1A1718"/>
        </w:rPr>
        <w:t>Coll</w:t>
      </w:r>
      <w:proofErr w:type="spellEnd"/>
      <w:r>
        <w:rPr>
          <w:rFonts w:ascii="Times" w:hAnsi="Times" w:cs="Times"/>
          <w:color w:val="1A1718"/>
        </w:rPr>
        <w:t xml:space="preserve">, 2018). </w:t>
      </w:r>
    </w:p>
    <w:p w14:paraId="512B663C"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Furthermore, the </w:t>
      </w:r>
      <w:r>
        <w:rPr>
          <w:rFonts w:ascii="Times" w:hAnsi="Times" w:cs="Times"/>
          <w:i/>
          <w:iCs/>
          <w:color w:val="1A1718"/>
        </w:rPr>
        <w:t xml:space="preserve">United Nations Convention on the Rights of the Child </w:t>
      </w:r>
      <w:r>
        <w:rPr>
          <w:rFonts w:ascii="Times" w:hAnsi="Times" w:cs="Times"/>
          <w:color w:val="1A1718"/>
        </w:rPr>
        <w:t xml:space="preserve">(United Nations Office of the High Commissioner for Human Rights, 1990), requested that countries make decisions based on the best interests of the child (Article 3) and declare the right of the child to be cared for by her/his parents (Article 7). Tenet number 2 of the Diversity Informed Infant Mental Health Tenets also reminds practitioners in the field of infant and childhood mental health that “Infants are citizens of the world. It is the responsibility of the global community to support parents, families, and local communities in welcoming, protecting and nurturing them” (St. John, Thomas, &amp; </w:t>
      </w:r>
      <w:proofErr w:type="spellStart"/>
      <w:r>
        <w:rPr>
          <w:rFonts w:ascii="Times" w:hAnsi="Times" w:cs="Times"/>
          <w:color w:val="1A1718"/>
        </w:rPr>
        <w:t>Noroña</w:t>
      </w:r>
      <w:proofErr w:type="spellEnd"/>
      <w:r>
        <w:rPr>
          <w:rFonts w:ascii="Times" w:hAnsi="Times" w:cs="Times"/>
          <w:color w:val="1A1718"/>
        </w:rPr>
        <w:t xml:space="preserve">, 2012, p. 15). </w:t>
      </w:r>
    </w:p>
    <w:p w14:paraId="08FDE664" w14:textId="77777777" w:rsidR="00EF4DFB" w:rsidRDefault="00EF4DFB" w:rsidP="00EF4DFB">
      <w:pPr>
        <w:widowControl w:val="0"/>
        <w:autoSpaceDE w:val="0"/>
        <w:autoSpaceDN w:val="0"/>
        <w:adjustRightInd w:val="0"/>
        <w:spacing w:line="280" w:lineRule="atLeast"/>
        <w:rPr>
          <w:rFonts w:ascii="Times" w:hAnsi="Times" w:cs="Times"/>
          <w:color w:val="000000"/>
        </w:rPr>
      </w:pPr>
      <w:r>
        <w:rPr>
          <w:rFonts w:ascii="Times" w:hAnsi="Times" w:cs="Times"/>
          <w:noProof/>
          <w:color w:val="000000"/>
        </w:rPr>
        <w:drawing>
          <wp:inline distT="0" distB="0" distL="0" distR="0" wp14:anchorId="44726623" wp14:editId="73C51CA9">
            <wp:extent cx="3069590" cy="107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69590" cy="10795"/>
                    </a:xfrm>
                    <a:prstGeom prst="rect">
                      <a:avLst/>
                    </a:prstGeom>
                    <a:noFill/>
                    <a:ln>
                      <a:noFill/>
                    </a:ln>
                  </pic:spPr>
                </pic:pic>
              </a:graphicData>
            </a:graphic>
          </wp:inline>
        </w:drawing>
      </w:r>
    </w:p>
    <w:p w14:paraId="0F7C2E99" w14:textId="77777777" w:rsidR="00EF4DFB" w:rsidRDefault="00EF4DFB" w:rsidP="00EF4DFB">
      <w:pPr>
        <w:widowControl w:val="0"/>
        <w:autoSpaceDE w:val="0"/>
        <w:autoSpaceDN w:val="0"/>
        <w:adjustRightInd w:val="0"/>
        <w:spacing w:after="240" w:line="300" w:lineRule="atLeast"/>
        <w:rPr>
          <w:rFonts w:ascii="Times" w:hAnsi="Times" w:cs="Times"/>
          <w:color w:val="000000"/>
        </w:rPr>
      </w:pPr>
      <w:r>
        <w:rPr>
          <w:rFonts w:ascii="Times" w:hAnsi="Times" w:cs="Times"/>
          <w:i/>
          <w:iCs/>
          <w:color w:val="0E6EB1"/>
          <w:sz w:val="26"/>
          <w:szCs w:val="26"/>
        </w:rPr>
        <w:t xml:space="preserve">ZERO TO THREE </w:t>
      </w:r>
      <w:r>
        <w:rPr>
          <w:rFonts w:ascii="Times" w:hAnsi="Times" w:cs="Times"/>
          <w:color w:val="0E6EB1"/>
          <w:sz w:val="26"/>
          <w:szCs w:val="26"/>
        </w:rPr>
        <w:t xml:space="preserve">• </w:t>
      </w:r>
    </w:p>
    <w:p w14:paraId="2A1453C3" w14:textId="77777777" w:rsidR="00EF4DFB" w:rsidRDefault="00EF4DFB" w:rsidP="00EF4DFB">
      <w:pPr>
        <w:widowControl w:val="0"/>
        <w:autoSpaceDE w:val="0"/>
        <w:autoSpaceDN w:val="0"/>
        <w:adjustRightInd w:val="0"/>
        <w:spacing w:after="240" w:line="300" w:lineRule="atLeast"/>
        <w:rPr>
          <w:rFonts w:ascii="Times" w:hAnsi="Times" w:cs="Times"/>
          <w:color w:val="000000"/>
        </w:rPr>
      </w:pPr>
      <w:r>
        <w:rPr>
          <w:rFonts w:ascii="Times" w:hAnsi="Times" w:cs="Times"/>
          <w:color w:val="0E6EB1"/>
          <w:sz w:val="26"/>
          <w:szCs w:val="26"/>
        </w:rPr>
        <w:t xml:space="preserve">SEPTEMBER 2018 13 </w:t>
      </w:r>
    </w:p>
    <w:p w14:paraId="68DE31CF" w14:textId="77777777" w:rsidR="00EF4DFB" w:rsidRDefault="00EF4DFB" w:rsidP="00EF4DFB">
      <w:pPr>
        <w:widowControl w:val="0"/>
        <w:autoSpaceDE w:val="0"/>
        <w:autoSpaceDN w:val="0"/>
        <w:adjustRightInd w:val="0"/>
        <w:spacing w:after="240" w:line="260" w:lineRule="atLeast"/>
        <w:rPr>
          <w:rFonts w:ascii="Times" w:hAnsi="Times" w:cs="Times"/>
          <w:color w:val="000000"/>
        </w:rPr>
      </w:pPr>
      <w:r>
        <w:rPr>
          <w:rFonts w:ascii="Times" w:hAnsi="Times" w:cs="Times"/>
          <w:color w:val="96999C"/>
          <w:sz w:val="21"/>
          <w:szCs w:val="21"/>
        </w:rPr>
        <w:t>Photo: Joseph Sorrentino/</w:t>
      </w:r>
      <w:proofErr w:type="spellStart"/>
      <w:r>
        <w:rPr>
          <w:rFonts w:ascii="Times" w:hAnsi="Times" w:cs="Times"/>
          <w:color w:val="96999C"/>
          <w:sz w:val="21"/>
          <w:szCs w:val="21"/>
        </w:rPr>
        <w:t>shutterstock</w:t>
      </w:r>
      <w:proofErr w:type="spellEnd"/>
      <w:r>
        <w:rPr>
          <w:rFonts w:ascii="Times" w:hAnsi="Times" w:cs="Times"/>
          <w:color w:val="96999C"/>
          <w:sz w:val="21"/>
          <w:szCs w:val="21"/>
        </w:rPr>
        <w:t xml:space="preserve"> </w:t>
      </w:r>
    </w:p>
    <w:p w14:paraId="2F29C777" w14:textId="77777777" w:rsidR="00EF4DFB" w:rsidRDefault="00EF4DFB" w:rsidP="00EF4DFB">
      <w:pPr>
        <w:widowControl w:val="0"/>
        <w:autoSpaceDE w:val="0"/>
        <w:autoSpaceDN w:val="0"/>
        <w:adjustRightInd w:val="0"/>
        <w:spacing w:after="240" w:line="360" w:lineRule="atLeast"/>
        <w:rPr>
          <w:rFonts w:ascii="Times" w:hAnsi="Times" w:cs="Times"/>
          <w:color w:val="000000"/>
        </w:rPr>
      </w:pPr>
      <w:r>
        <w:rPr>
          <w:rFonts w:ascii="Times" w:hAnsi="Times" w:cs="Times"/>
          <w:color w:val="0E6EB1"/>
          <w:sz w:val="32"/>
          <w:szCs w:val="32"/>
        </w:rPr>
        <w:t xml:space="preserve">Impact of Family Separation on Children </w:t>
      </w:r>
    </w:p>
    <w:p w14:paraId="70D5DDF8"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Since late 1930s, there have been many scholars studying the effects of separation and deprivation in infants, first in animals and afterward in humans (van der Horst &amp; van der Veer, 2008). Spitz and Wolf (1946) showed that children suffered deep depression after separations from their mothers, and that this experience was associated with serious deterioration during child development. Young children process their emotional states thanks to their caretaker’s attunement to their emotions and concordant response (Stern, 1985), which help children regulate. When children experience traumatic events, “infants and young children engage in unpredictable responses that present a challenge...leading to fears that the child has been permanently damaged and altering the parent’s emotional attunement to the child” (Lieberman &amp; Van Horn, 2008, p. 19). Children need the comfort of sensitive and responsive parents or caretakers to process stressful events (</w:t>
      </w:r>
      <w:proofErr w:type="spellStart"/>
      <w:r>
        <w:rPr>
          <w:rFonts w:ascii="Times" w:hAnsi="Times" w:cs="Times"/>
          <w:color w:val="1A1718"/>
        </w:rPr>
        <w:t>Hostinar</w:t>
      </w:r>
      <w:proofErr w:type="spellEnd"/>
      <w:r>
        <w:rPr>
          <w:rFonts w:ascii="Times" w:hAnsi="Times" w:cs="Times"/>
          <w:color w:val="1A1718"/>
        </w:rPr>
        <w:t xml:space="preserve">, Sullivan, </w:t>
      </w:r>
    </w:p>
    <w:p w14:paraId="57B166B5"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&amp; Gunnar, 2014), especially the ones who have been already impacted by the aftermath of the pro- </w:t>
      </w:r>
    </w:p>
    <w:p w14:paraId="4BBE1215"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relationships and behaviors later in their lives (</w:t>
      </w:r>
      <w:proofErr w:type="spellStart"/>
      <w:r>
        <w:rPr>
          <w:rFonts w:ascii="Times" w:hAnsi="Times" w:cs="Times"/>
          <w:color w:val="1A1718"/>
        </w:rPr>
        <w:t>Gindling</w:t>
      </w:r>
      <w:proofErr w:type="spellEnd"/>
      <w:r>
        <w:rPr>
          <w:rFonts w:ascii="Times" w:hAnsi="Times" w:cs="Times"/>
          <w:color w:val="1A1718"/>
        </w:rPr>
        <w:t xml:space="preserve"> &amp; </w:t>
      </w:r>
      <w:proofErr w:type="spellStart"/>
      <w:r>
        <w:rPr>
          <w:rFonts w:ascii="Times" w:hAnsi="Times" w:cs="Times"/>
          <w:color w:val="1A1718"/>
        </w:rPr>
        <w:t>Poggio</w:t>
      </w:r>
      <w:proofErr w:type="spellEnd"/>
      <w:r>
        <w:rPr>
          <w:rFonts w:ascii="Times" w:hAnsi="Times" w:cs="Times"/>
          <w:color w:val="1A1718"/>
        </w:rPr>
        <w:t xml:space="preserve">, 2012, Lieberman &amp; Van Horn, 2005). </w:t>
      </w:r>
    </w:p>
    <w:p w14:paraId="55C891C9"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On June 20, 2018, the Society for Research in Child </w:t>
      </w:r>
      <w:proofErr w:type="spellStart"/>
      <w:r>
        <w:rPr>
          <w:rFonts w:ascii="Times" w:hAnsi="Times" w:cs="Times"/>
          <w:color w:val="1A1718"/>
        </w:rPr>
        <w:t>Devel</w:t>
      </w:r>
      <w:proofErr w:type="spellEnd"/>
      <w:r>
        <w:rPr>
          <w:rFonts w:ascii="Times" w:hAnsi="Times" w:cs="Times"/>
          <w:color w:val="1A1718"/>
        </w:rPr>
        <w:t xml:space="preserve">- </w:t>
      </w:r>
      <w:proofErr w:type="spellStart"/>
      <w:r>
        <w:rPr>
          <w:rFonts w:ascii="Times" w:hAnsi="Times" w:cs="Times"/>
          <w:color w:val="1A1718"/>
        </w:rPr>
        <w:t>opment</w:t>
      </w:r>
      <w:proofErr w:type="spellEnd"/>
      <w:r>
        <w:rPr>
          <w:rFonts w:ascii="Times" w:hAnsi="Times" w:cs="Times"/>
          <w:color w:val="1A1718"/>
        </w:rPr>
        <w:t xml:space="preserve"> declared in a statement of the evidence that young children separated from their family can present short- and long-term consequences in their overall functioning due to the impact of dealing with stressful or traumatic events without their primarily source of comfort and security, and that being separated from their family is one of the principal sources of toxic stress and possibly posttraumatic stress disorder in these population (</w:t>
      </w:r>
      <w:proofErr w:type="spellStart"/>
      <w:r>
        <w:rPr>
          <w:rFonts w:ascii="Times" w:hAnsi="Times" w:cs="Times"/>
          <w:color w:val="1A1718"/>
        </w:rPr>
        <w:t>Bouza</w:t>
      </w:r>
      <w:proofErr w:type="spellEnd"/>
      <w:r>
        <w:rPr>
          <w:rFonts w:ascii="Times" w:hAnsi="Times" w:cs="Times"/>
          <w:color w:val="1A1718"/>
        </w:rPr>
        <w:t xml:space="preserve"> et al., 2018). </w:t>
      </w:r>
    </w:p>
    <w:p w14:paraId="0A8DA3EA"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Based on what has been studied regarding the impact of parental separation due to detention or deportation in mixed-status families, there is evidence that young children can exhibit behavioral, developmental, and emotional </w:t>
      </w:r>
      <w:proofErr w:type="spellStart"/>
      <w:r>
        <w:rPr>
          <w:rFonts w:ascii="Times" w:hAnsi="Times" w:cs="Times"/>
          <w:color w:val="1A1718"/>
        </w:rPr>
        <w:t>difficul</w:t>
      </w:r>
      <w:proofErr w:type="spellEnd"/>
      <w:r>
        <w:rPr>
          <w:rFonts w:ascii="Times" w:hAnsi="Times" w:cs="Times"/>
          <w:color w:val="1A1718"/>
        </w:rPr>
        <w:t xml:space="preserve">- ties including separation anxiety, ambivalent feelings toward the absent parent, aggression toward caregivers, withdrawal, </w:t>
      </w:r>
    </w:p>
    <w:p w14:paraId="76D5FDF4" w14:textId="77777777" w:rsidR="00EF4DFB" w:rsidRDefault="00EF4DFB" w:rsidP="00EF4DFB">
      <w:pPr>
        <w:widowControl w:val="0"/>
        <w:autoSpaceDE w:val="0"/>
        <w:autoSpaceDN w:val="0"/>
        <w:adjustRightInd w:val="0"/>
        <w:spacing w:after="240" w:line="280" w:lineRule="atLeast"/>
        <w:rPr>
          <w:rFonts w:ascii="Times" w:hAnsi="Times" w:cs="Times"/>
          <w:color w:val="000000"/>
        </w:rPr>
      </w:pPr>
      <w:proofErr w:type="spellStart"/>
      <w:r>
        <w:rPr>
          <w:rFonts w:ascii="Times" w:hAnsi="Times" w:cs="Times"/>
          <w:color w:val="1A1718"/>
        </w:rPr>
        <w:t>cess</w:t>
      </w:r>
      <w:proofErr w:type="spellEnd"/>
      <w:r>
        <w:rPr>
          <w:rFonts w:ascii="Times" w:hAnsi="Times" w:cs="Times"/>
          <w:color w:val="1A1718"/>
        </w:rPr>
        <w:t xml:space="preserve"> of immigration while their world is changing as they accompany </w:t>
      </w:r>
      <w:proofErr w:type="gramStart"/>
      <w:r>
        <w:rPr>
          <w:rFonts w:ascii="Times" w:hAnsi="Times" w:cs="Times"/>
          <w:color w:val="1A1718"/>
        </w:rPr>
        <w:t>their</w:t>
      </w:r>
      <w:proofErr w:type="gramEnd"/>
      <w:r>
        <w:rPr>
          <w:rFonts w:ascii="Times" w:hAnsi="Times" w:cs="Times"/>
          <w:color w:val="1A1718"/>
        </w:rPr>
        <w:t> parents to presumably safer places. As discussed previously, many of these fam- </w:t>
      </w:r>
      <w:proofErr w:type="spellStart"/>
      <w:r>
        <w:rPr>
          <w:rFonts w:ascii="Times" w:hAnsi="Times" w:cs="Times"/>
          <w:color w:val="1A1718"/>
        </w:rPr>
        <w:t>ilies</w:t>
      </w:r>
      <w:proofErr w:type="spellEnd"/>
      <w:r>
        <w:rPr>
          <w:rFonts w:ascii="Times" w:hAnsi="Times" w:cs="Times"/>
          <w:color w:val="1A1718"/>
        </w:rPr>
        <w:t xml:space="preserve"> fled from civil conflicts or oppressive dictatorship in their countries of origin, which implies that they may also carry pre-immigration traumas (Pérez Foster, 2001). Not having access to their primary caretakers can worsen the physiological and psychological effects of stressful events on children, especially in younger ones (</w:t>
      </w:r>
      <w:proofErr w:type="spellStart"/>
      <w:r>
        <w:rPr>
          <w:rFonts w:ascii="Times" w:hAnsi="Times" w:cs="Times"/>
          <w:color w:val="1A1718"/>
        </w:rPr>
        <w:t>Masten</w:t>
      </w:r>
      <w:proofErr w:type="spellEnd"/>
      <w:r>
        <w:rPr>
          <w:rFonts w:ascii="Times" w:hAnsi="Times" w:cs="Times"/>
          <w:color w:val="1A1718"/>
        </w:rPr>
        <w:t xml:space="preserve"> &amp; Narayan, 2012). On the other hand, while one parent is absent, the opportunity to receive the warmth and support from other parental figures or caregivers can serve as a protective factor (Rodríguez &amp; </w:t>
      </w:r>
      <w:proofErr w:type="spellStart"/>
      <w:r>
        <w:rPr>
          <w:rFonts w:ascii="Times" w:hAnsi="Times" w:cs="Times"/>
          <w:color w:val="1A1718"/>
        </w:rPr>
        <w:t>Margolin</w:t>
      </w:r>
      <w:proofErr w:type="spellEnd"/>
      <w:r>
        <w:rPr>
          <w:rFonts w:ascii="Times" w:hAnsi="Times" w:cs="Times"/>
          <w:color w:val="1A1718"/>
        </w:rPr>
        <w:t xml:space="preserve">, 2015). </w:t>
      </w:r>
    </w:p>
    <w:p w14:paraId="0A7C7174"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In circumstances when there is a sudden separation from the caregivers, as in the case of parental detention (</w:t>
      </w:r>
      <w:proofErr w:type="spellStart"/>
      <w:r>
        <w:rPr>
          <w:rFonts w:ascii="Times" w:hAnsi="Times" w:cs="Times"/>
          <w:color w:val="1A1718"/>
        </w:rPr>
        <w:t>Brabeck</w:t>
      </w:r>
      <w:proofErr w:type="spellEnd"/>
      <w:r>
        <w:rPr>
          <w:rFonts w:ascii="Times" w:hAnsi="Times" w:cs="Times"/>
          <w:color w:val="1A1718"/>
        </w:rPr>
        <w:t> et al., 2014), all family members experience the event as a crisis; there is usually no time to make preparations for the aftermath of the separation, including arrangement in terms of child care, and there is a state of heightened confusion and anxiety as there might not be easy access to information regarding the detained adults (</w:t>
      </w:r>
      <w:proofErr w:type="spellStart"/>
      <w:r>
        <w:rPr>
          <w:rFonts w:ascii="Times" w:hAnsi="Times" w:cs="Times"/>
          <w:color w:val="1A1718"/>
        </w:rPr>
        <w:t>Androff</w:t>
      </w:r>
      <w:proofErr w:type="spellEnd"/>
      <w:r>
        <w:rPr>
          <w:rFonts w:ascii="Times" w:hAnsi="Times" w:cs="Times"/>
          <w:color w:val="1A1718"/>
        </w:rPr>
        <w:t xml:space="preserve"> et al., 2011; Capps, </w:t>
      </w:r>
      <w:proofErr w:type="spellStart"/>
      <w:r>
        <w:rPr>
          <w:rFonts w:ascii="Times" w:hAnsi="Times" w:cs="Times"/>
          <w:color w:val="1A1718"/>
        </w:rPr>
        <w:t>Castañeda</w:t>
      </w:r>
      <w:proofErr w:type="spellEnd"/>
      <w:r>
        <w:rPr>
          <w:rFonts w:ascii="Times" w:hAnsi="Times" w:cs="Times"/>
          <w:color w:val="1A1718"/>
        </w:rPr>
        <w:t xml:space="preserve">, </w:t>
      </w:r>
      <w:proofErr w:type="spellStart"/>
      <w:r>
        <w:rPr>
          <w:rFonts w:ascii="Times" w:hAnsi="Times" w:cs="Times"/>
          <w:color w:val="1A1718"/>
        </w:rPr>
        <w:t>Chaudry</w:t>
      </w:r>
      <w:proofErr w:type="spellEnd"/>
      <w:r>
        <w:rPr>
          <w:rFonts w:ascii="Times" w:hAnsi="Times" w:cs="Times"/>
          <w:color w:val="1A1718"/>
        </w:rPr>
        <w:t>, &amp; Santos, 2007). Sometimes, not knowing where their parents are and what happened to them can also trigger in children memories of disappearances experienced in their country of origin (</w:t>
      </w:r>
      <w:proofErr w:type="spellStart"/>
      <w:r>
        <w:rPr>
          <w:rFonts w:ascii="Times" w:hAnsi="Times" w:cs="Times"/>
          <w:color w:val="1A1718"/>
        </w:rPr>
        <w:t>Brabeck</w:t>
      </w:r>
      <w:proofErr w:type="spellEnd"/>
      <w:r>
        <w:rPr>
          <w:rFonts w:ascii="Times" w:hAnsi="Times" w:cs="Times"/>
          <w:color w:val="1A1718"/>
        </w:rPr>
        <w:t xml:space="preserve">, </w:t>
      </w:r>
      <w:proofErr w:type="spellStart"/>
      <w:r>
        <w:rPr>
          <w:rFonts w:ascii="Times" w:hAnsi="Times" w:cs="Times"/>
          <w:color w:val="1A1718"/>
        </w:rPr>
        <w:t>Lykes</w:t>
      </w:r>
      <w:proofErr w:type="spellEnd"/>
      <w:r>
        <w:rPr>
          <w:rFonts w:ascii="Times" w:hAnsi="Times" w:cs="Times"/>
          <w:color w:val="1A1718"/>
        </w:rPr>
        <w:t xml:space="preserve">, &amp; </w:t>
      </w:r>
      <w:proofErr w:type="spellStart"/>
      <w:r>
        <w:rPr>
          <w:rFonts w:ascii="Times" w:hAnsi="Times" w:cs="Times"/>
          <w:color w:val="1A1718"/>
        </w:rPr>
        <w:t>Hershberg</w:t>
      </w:r>
      <w:proofErr w:type="spellEnd"/>
      <w:r>
        <w:rPr>
          <w:rFonts w:ascii="Times" w:hAnsi="Times" w:cs="Times"/>
          <w:color w:val="1A1718"/>
        </w:rPr>
        <w:t>, 2011) or cognitive distortions by which the children blame themselves for the parents’ arrest and/or absence. Many families can be separated and moved to different states (</w:t>
      </w:r>
      <w:proofErr w:type="spellStart"/>
      <w:r>
        <w:rPr>
          <w:rFonts w:ascii="Times" w:hAnsi="Times" w:cs="Times"/>
          <w:color w:val="1A1718"/>
        </w:rPr>
        <w:t>McLeigh</w:t>
      </w:r>
      <w:proofErr w:type="spellEnd"/>
      <w:r>
        <w:rPr>
          <w:rFonts w:ascii="Times" w:hAnsi="Times" w:cs="Times"/>
          <w:color w:val="1A1718"/>
        </w:rPr>
        <w:t xml:space="preserve">, 2010); children may be placed in foster care in cities far away from the adult’s detention facilities. Young children may experience the separation as </w:t>
      </w:r>
      <w:proofErr w:type="spellStart"/>
      <w:r>
        <w:rPr>
          <w:rFonts w:ascii="Times" w:hAnsi="Times" w:cs="Times"/>
          <w:color w:val="1A1718"/>
        </w:rPr>
        <w:t>anihilation</w:t>
      </w:r>
      <w:proofErr w:type="spellEnd"/>
      <w:r>
        <w:rPr>
          <w:rFonts w:ascii="Times" w:hAnsi="Times" w:cs="Times"/>
          <w:color w:val="1A1718"/>
        </w:rPr>
        <w:t xml:space="preserve">, losing the parent’s love and protection, which leads to emotional distress and can affect </w:t>
      </w:r>
    </w:p>
    <w:p w14:paraId="631933B3"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depression, loss of appetite, feelings of shame, and confusion because the parent was arrested (Yoshikawa &amp; </w:t>
      </w:r>
      <w:proofErr w:type="spellStart"/>
      <w:r>
        <w:rPr>
          <w:rFonts w:ascii="Times" w:hAnsi="Times" w:cs="Times"/>
          <w:color w:val="1A1718"/>
        </w:rPr>
        <w:t>Kalil</w:t>
      </w:r>
      <w:proofErr w:type="spellEnd"/>
      <w:r>
        <w:rPr>
          <w:rFonts w:ascii="Times" w:hAnsi="Times" w:cs="Times"/>
          <w:color w:val="1A1718"/>
        </w:rPr>
        <w:t xml:space="preserve">, 2011). For many children, the most traumatic characteristic of the separation is witnessing the parent being hand- cuffed, threatened, or beaten during the detentions and facing unresolved questions and concerns regarding the parent’s well-being and whereabouts (Allen, Cisneros, &amp; Tellez, 2015; </w:t>
      </w:r>
      <w:proofErr w:type="spellStart"/>
      <w:r>
        <w:rPr>
          <w:rFonts w:ascii="Times" w:hAnsi="Times" w:cs="Times"/>
          <w:color w:val="1A1718"/>
        </w:rPr>
        <w:t>Osofsky</w:t>
      </w:r>
      <w:proofErr w:type="spellEnd"/>
      <w:r>
        <w:rPr>
          <w:rFonts w:ascii="Times" w:hAnsi="Times" w:cs="Times"/>
          <w:color w:val="1A1718"/>
        </w:rPr>
        <w:t xml:space="preserve"> et al., 2018). Some authors have com- pared the experience associated with parental separation to the constructs of </w:t>
      </w:r>
    </w:p>
    <w:p w14:paraId="58E13B95"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traumatic grief (NCTSN, 2016) and more specifically of </w:t>
      </w:r>
      <w:proofErr w:type="spellStart"/>
      <w:r>
        <w:rPr>
          <w:rFonts w:ascii="Times" w:hAnsi="Times" w:cs="Times"/>
          <w:color w:val="1A1718"/>
        </w:rPr>
        <w:t>ambigu</w:t>
      </w:r>
      <w:proofErr w:type="spellEnd"/>
      <w:r>
        <w:rPr>
          <w:rFonts w:ascii="Times" w:hAnsi="Times" w:cs="Times"/>
          <w:color w:val="1A1718"/>
        </w:rPr>
        <w:t xml:space="preserve">- </w:t>
      </w:r>
      <w:proofErr w:type="spellStart"/>
      <w:r>
        <w:rPr>
          <w:rFonts w:ascii="Times" w:hAnsi="Times" w:cs="Times"/>
          <w:color w:val="1A1718"/>
        </w:rPr>
        <w:t>ous</w:t>
      </w:r>
      <w:proofErr w:type="spellEnd"/>
      <w:r>
        <w:rPr>
          <w:rFonts w:ascii="Times" w:hAnsi="Times" w:cs="Times"/>
          <w:color w:val="1A1718"/>
        </w:rPr>
        <w:t xml:space="preserve"> loss (Luster, Qin, Bates, Johnson, &amp; Rana, 2008). </w:t>
      </w:r>
      <w:r>
        <w:rPr>
          <w:rFonts w:ascii="Times" w:hAnsi="Times" w:cs="Times"/>
          <w:i/>
          <w:iCs/>
          <w:color w:val="1A1718"/>
        </w:rPr>
        <w:t xml:space="preserve">Traumatic grief </w:t>
      </w:r>
      <w:r>
        <w:rPr>
          <w:rFonts w:ascii="Times" w:hAnsi="Times" w:cs="Times"/>
          <w:color w:val="1A1718"/>
        </w:rPr>
        <w:t xml:space="preserve">is a condition that takes place when the circumstances of the death interfere with the grieving process. In </w:t>
      </w:r>
      <w:proofErr w:type="gramStart"/>
      <w:r>
        <w:rPr>
          <w:rFonts w:ascii="Times" w:hAnsi="Times" w:cs="Times"/>
          <w:color w:val="1A1718"/>
        </w:rPr>
        <w:t>children</w:t>
      </w:r>
      <w:proofErr w:type="gramEnd"/>
      <w:r>
        <w:rPr>
          <w:rFonts w:ascii="Times" w:hAnsi="Times" w:cs="Times"/>
          <w:color w:val="1A1718"/>
        </w:rPr>
        <w:t xml:space="preserve"> it is characterized by posttraumatic responses including intrusive thoughts; nightmares; disturbing images of the event </w:t>
      </w:r>
      <w:proofErr w:type="spellStart"/>
      <w:r>
        <w:rPr>
          <w:rFonts w:ascii="Times" w:hAnsi="Times" w:cs="Times"/>
          <w:color w:val="1A1718"/>
        </w:rPr>
        <w:t>repre</w:t>
      </w:r>
      <w:proofErr w:type="spellEnd"/>
      <w:r>
        <w:rPr>
          <w:rFonts w:ascii="Times" w:hAnsi="Times" w:cs="Times"/>
          <w:color w:val="1A1718"/>
        </w:rPr>
        <w:t xml:space="preserve">- </w:t>
      </w:r>
      <w:proofErr w:type="spellStart"/>
      <w:r>
        <w:rPr>
          <w:rFonts w:ascii="Times" w:hAnsi="Times" w:cs="Times"/>
          <w:color w:val="1A1718"/>
        </w:rPr>
        <w:t>sented</w:t>
      </w:r>
      <w:proofErr w:type="spellEnd"/>
      <w:r>
        <w:rPr>
          <w:rFonts w:ascii="Times" w:hAnsi="Times" w:cs="Times"/>
          <w:color w:val="1A1718"/>
        </w:rPr>
        <w:t xml:space="preserve"> in play or art; avoiding reminders of what happened (e.g., places, people, things associated with the event); dis- </w:t>
      </w:r>
      <w:proofErr w:type="spellStart"/>
      <w:r>
        <w:rPr>
          <w:rFonts w:ascii="Times" w:hAnsi="Times" w:cs="Times"/>
          <w:color w:val="1A1718"/>
        </w:rPr>
        <w:t>torted</w:t>
      </w:r>
      <w:proofErr w:type="spellEnd"/>
      <w:r>
        <w:rPr>
          <w:rFonts w:ascii="Times" w:hAnsi="Times" w:cs="Times"/>
          <w:color w:val="1A1718"/>
        </w:rPr>
        <w:t xml:space="preserve"> beliefs about oneself, others, or the event; and negative changes in mood (anger, sadness, fear, shame; NCTSN, 2015). Although children who have been separated from their parents might develop clinically similar responses to children whose parent has died, the challenge for the children who experience a traumatic separation is that their caregivers are still alive and the children have justifiable reasons to hope to be reunited with them. However, this reunion may not happen in many years or may not happen at all (NCTSN, 2015), giving place to unsolved distress, confusion, and emotional pain. Ambiguous loss is defined as when a family member is psychologically or physically absent (Tubbs &amp; Boss, 2000), and it creates stress and pain because situations associated with it produce </w:t>
      </w:r>
      <w:proofErr w:type="spellStart"/>
      <w:r>
        <w:rPr>
          <w:rFonts w:ascii="Times" w:hAnsi="Times" w:cs="Times"/>
          <w:color w:val="1A1718"/>
        </w:rPr>
        <w:t>ambi</w:t>
      </w:r>
      <w:proofErr w:type="spellEnd"/>
      <w:r>
        <w:rPr>
          <w:rFonts w:ascii="Times" w:hAnsi="Times" w:cs="Times"/>
          <w:color w:val="1A1718"/>
        </w:rPr>
        <w:t xml:space="preserve">- </w:t>
      </w:r>
      <w:proofErr w:type="spellStart"/>
      <w:r>
        <w:rPr>
          <w:rFonts w:ascii="Times" w:hAnsi="Times" w:cs="Times"/>
          <w:color w:val="1A1718"/>
        </w:rPr>
        <w:t>guity</w:t>
      </w:r>
      <w:proofErr w:type="spellEnd"/>
      <w:r>
        <w:rPr>
          <w:rFonts w:ascii="Times" w:hAnsi="Times" w:cs="Times"/>
          <w:color w:val="1A1718"/>
        </w:rPr>
        <w:t xml:space="preserve"> about the status of the loved one and because, in general, closure is not possible. Even if reunification with the family member happens, the separation can lead to psychological difficulties: depression, detachment, feelings of powerlessness, or feeling immobilized. Several studies </w:t>
      </w:r>
      <w:proofErr w:type="gramStart"/>
      <w:r>
        <w:rPr>
          <w:rFonts w:ascii="Times" w:hAnsi="Times" w:cs="Times"/>
          <w:color w:val="1A1718"/>
        </w:rPr>
        <w:t>evidence</w:t>
      </w:r>
      <w:proofErr w:type="gramEnd"/>
      <w:r>
        <w:rPr>
          <w:rFonts w:ascii="Times" w:hAnsi="Times" w:cs="Times"/>
          <w:color w:val="1A1718"/>
        </w:rPr>
        <w:t xml:space="preserve"> that children </w:t>
      </w:r>
      <w:r>
        <w:rPr>
          <w:rFonts w:ascii="Times" w:hAnsi="Times" w:cs="Times"/>
          <w:color w:val="0E6EB1"/>
        </w:rPr>
        <w:t xml:space="preserve">3. </w:t>
      </w:r>
      <w:r>
        <w:rPr>
          <w:rFonts w:ascii="Times" w:hAnsi="Times" w:cs="Times"/>
          <w:color w:val="1A1718"/>
        </w:rPr>
        <w:t>whose parents migrated and reunited with them afterward are susceptible to attachment difficulties, depression, decreased academic performance, and behavioral problems (</w:t>
      </w:r>
      <w:proofErr w:type="spellStart"/>
      <w:r>
        <w:rPr>
          <w:rFonts w:ascii="Times" w:hAnsi="Times" w:cs="Times"/>
          <w:color w:val="1A1718"/>
        </w:rPr>
        <w:t>Abrego</w:t>
      </w:r>
      <w:proofErr w:type="spellEnd"/>
      <w:r>
        <w:rPr>
          <w:rFonts w:ascii="Times" w:hAnsi="Times" w:cs="Times"/>
          <w:color w:val="1A1718"/>
        </w:rPr>
        <w:t xml:space="preserve">, </w:t>
      </w:r>
    </w:p>
    <w:p w14:paraId="53B7B000"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Neighborhood and network social resources: </w:t>
      </w:r>
      <w:proofErr w:type="spellStart"/>
      <w:r>
        <w:rPr>
          <w:rFonts w:ascii="Times" w:hAnsi="Times" w:cs="Times"/>
          <w:color w:val="1A1718"/>
        </w:rPr>
        <w:t>Connec</w:t>
      </w:r>
      <w:proofErr w:type="spellEnd"/>
      <w:r>
        <w:rPr>
          <w:rFonts w:ascii="Times" w:hAnsi="Times" w:cs="Times"/>
          <w:color w:val="1A1718"/>
        </w:rPr>
        <w:t xml:space="preserve">- </w:t>
      </w:r>
      <w:proofErr w:type="spellStart"/>
      <w:r>
        <w:rPr>
          <w:rFonts w:ascii="Times" w:hAnsi="Times" w:cs="Times"/>
          <w:color w:val="1A1718"/>
        </w:rPr>
        <w:t>tions</w:t>
      </w:r>
      <w:proofErr w:type="spellEnd"/>
      <w:r>
        <w:rPr>
          <w:rFonts w:ascii="Times" w:hAnsi="Times" w:cs="Times"/>
          <w:color w:val="1A1718"/>
        </w:rPr>
        <w:t xml:space="preserve"> to ethnic enclave communities or other community supports (e.g., church) that can provide important information on services for the child as well as continued exposure to socio-cultural aspects of the child’s country of origin, that could guide the caretaker and support him in supporting the child. </w:t>
      </w:r>
    </w:p>
    <w:p w14:paraId="48E7C6EB"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2014, and </w:t>
      </w:r>
      <w:proofErr w:type="spellStart"/>
      <w:r>
        <w:rPr>
          <w:rFonts w:ascii="Times" w:hAnsi="Times" w:cs="Times"/>
          <w:color w:val="1A1718"/>
        </w:rPr>
        <w:t>Artico</w:t>
      </w:r>
      <w:proofErr w:type="spellEnd"/>
      <w:r>
        <w:rPr>
          <w:rFonts w:ascii="Times" w:hAnsi="Times" w:cs="Times"/>
          <w:color w:val="1A1718"/>
        </w:rPr>
        <w:t xml:space="preserve">, 2003, cited in González et al., 2017; </w:t>
      </w:r>
      <w:proofErr w:type="spellStart"/>
      <w:r>
        <w:rPr>
          <w:rFonts w:ascii="Times" w:hAnsi="Times" w:cs="Times"/>
          <w:color w:val="1A1718"/>
        </w:rPr>
        <w:t>Dreby</w:t>
      </w:r>
      <w:proofErr w:type="spellEnd"/>
      <w:r>
        <w:rPr>
          <w:rFonts w:ascii="Times" w:hAnsi="Times" w:cs="Times"/>
          <w:color w:val="1A1718"/>
        </w:rPr>
        <w:t xml:space="preserve">, 2015; Lovato-Hermann, 2017). Furthermore, there is evidence in Latino children that the impact of family separation can per- </w:t>
      </w:r>
      <w:proofErr w:type="spellStart"/>
      <w:r>
        <w:rPr>
          <w:rFonts w:ascii="Times" w:hAnsi="Times" w:cs="Times"/>
          <w:color w:val="1A1718"/>
        </w:rPr>
        <w:t>sist</w:t>
      </w:r>
      <w:proofErr w:type="spellEnd"/>
      <w:r>
        <w:rPr>
          <w:rFonts w:ascii="Times" w:hAnsi="Times" w:cs="Times"/>
          <w:color w:val="1A1718"/>
        </w:rPr>
        <w:t xml:space="preserve"> after family reunification and that problems may become more intense and frequent after longer periods of separation (</w:t>
      </w:r>
      <w:proofErr w:type="spellStart"/>
      <w:r>
        <w:rPr>
          <w:rFonts w:ascii="Times" w:hAnsi="Times" w:cs="Times"/>
          <w:color w:val="1A1718"/>
        </w:rPr>
        <w:t>Gindling</w:t>
      </w:r>
      <w:proofErr w:type="spellEnd"/>
      <w:r>
        <w:rPr>
          <w:rFonts w:ascii="Times" w:hAnsi="Times" w:cs="Times"/>
          <w:color w:val="1A1718"/>
        </w:rPr>
        <w:t xml:space="preserve"> &amp; </w:t>
      </w:r>
      <w:proofErr w:type="spellStart"/>
      <w:r>
        <w:rPr>
          <w:rFonts w:ascii="Times" w:hAnsi="Times" w:cs="Times"/>
          <w:color w:val="1A1718"/>
        </w:rPr>
        <w:t>Poggio</w:t>
      </w:r>
      <w:proofErr w:type="spellEnd"/>
      <w:r>
        <w:rPr>
          <w:rFonts w:ascii="Times" w:hAnsi="Times" w:cs="Times"/>
          <w:color w:val="1A1718"/>
        </w:rPr>
        <w:t xml:space="preserve">, 2012). </w:t>
      </w:r>
    </w:p>
    <w:p w14:paraId="7EC6F3D1" w14:textId="77777777" w:rsidR="00EF4DFB" w:rsidRDefault="00EF4DFB" w:rsidP="00EF4DFB">
      <w:pPr>
        <w:widowControl w:val="0"/>
        <w:autoSpaceDE w:val="0"/>
        <w:autoSpaceDN w:val="0"/>
        <w:adjustRightInd w:val="0"/>
        <w:spacing w:after="240" w:line="360" w:lineRule="atLeast"/>
        <w:rPr>
          <w:rFonts w:ascii="Times" w:hAnsi="Times" w:cs="Times"/>
          <w:color w:val="000000"/>
        </w:rPr>
      </w:pPr>
      <w:r>
        <w:rPr>
          <w:rFonts w:ascii="Times" w:hAnsi="Times" w:cs="Times"/>
          <w:color w:val="0E6EB1"/>
          <w:sz w:val="32"/>
          <w:szCs w:val="32"/>
        </w:rPr>
        <w:t xml:space="preserve">Supporting Young Children and Families Affected by Separation </w:t>
      </w:r>
    </w:p>
    <w:p w14:paraId="31849FF3"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On March 1, 2018, Colleen Kraft, president of the American Academy of Pediatrics, wrote a letter to </w:t>
      </w:r>
      <w:proofErr w:type="spellStart"/>
      <w:r>
        <w:rPr>
          <w:rFonts w:ascii="Times" w:hAnsi="Times" w:cs="Times"/>
          <w:color w:val="1A1718"/>
        </w:rPr>
        <w:t>Kirstjen</w:t>
      </w:r>
      <w:proofErr w:type="spellEnd"/>
      <w:r>
        <w:rPr>
          <w:rFonts w:ascii="Times" w:hAnsi="Times" w:cs="Times"/>
          <w:color w:val="1A1718"/>
        </w:rPr>
        <w:t xml:space="preserve"> M. Nielsen, Secretary of Homeland Security, about the profound trauma caused by abrupt family separation on young children. She declared that children’s brains change due to environments and experiences and that being exposed to prolonged fear and stress can harm the developing brain and impact short- and long-term health, especially when children don’t have access to the buffering protection provi</w:t>
      </w:r>
      <w:r>
        <w:rPr>
          <w:rFonts w:ascii="Times" w:hAnsi="Times" w:cs="Times"/>
          <w:color w:val="1A1718"/>
        </w:rPr>
        <w:t>ded by stable, responsive rela</w:t>
      </w:r>
      <w:r>
        <w:rPr>
          <w:rFonts w:ascii="Times" w:hAnsi="Times" w:cs="Times"/>
          <w:color w:val="1A1718"/>
        </w:rPr>
        <w:t xml:space="preserve">tionships. Kraft encouraged keeping families together to buffer the effects of times of strife that children are experiencing. </w:t>
      </w:r>
    </w:p>
    <w:p w14:paraId="47F8ED0B"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Our stance on the topic of famil</w:t>
      </w:r>
      <w:r>
        <w:rPr>
          <w:rFonts w:ascii="Times" w:hAnsi="Times" w:cs="Times"/>
          <w:color w:val="1A1718"/>
        </w:rPr>
        <w:t>y separations is that all chil</w:t>
      </w:r>
      <w:r>
        <w:rPr>
          <w:rFonts w:ascii="Times" w:hAnsi="Times" w:cs="Times"/>
          <w:color w:val="1A1718"/>
        </w:rPr>
        <w:t xml:space="preserve">dren, regardless of their immigration status, are entitled to basic human rights such as: physical safety, meeting other basic needs, and appropriate immigration processes including legal representation. The parent–child relationship is fundamental, and children should not be separated from their parents while legal actions are taken. If separation is explicitly necessary it should avoid re-traumatization, and agencies should be trained in assessing and supporting children through the time that they are in government custody (Murphey, 2016). </w:t>
      </w:r>
    </w:p>
    <w:p w14:paraId="33AA8894" w14:textId="77777777" w:rsidR="00EF4DFB" w:rsidRDefault="00EF4DFB" w:rsidP="00EF4DFB">
      <w:pPr>
        <w:widowControl w:val="0"/>
        <w:autoSpaceDE w:val="0"/>
        <w:autoSpaceDN w:val="0"/>
        <w:adjustRightInd w:val="0"/>
        <w:spacing w:after="240" w:line="300" w:lineRule="atLeast"/>
        <w:rPr>
          <w:rFonts w:ascii="Times" w:hAnsi="Times" w:cs="Times"/>
          <w:color w:val="000000"/>
        </w:rPr>
      </w:pPr>
      <w:r>
        <w:rPr>
          <w:rFonts w:ascii="Times" w:hAnsi="Times" w:cs="Times"/>
          <w:color w:val="268C37"/>
          <w:sz w:val="26"/>
          <w:szCs w:val="26"/>
        </w:rPr>
        <w:t xml:space="preserve">Recommendations and Resources That Can Help During the Time of Separation </w:t>
      </w:r>
    </w:p>
    <w:p w14:paraId="3046577B"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It is important to remember that how young children experience the separation from a parent, the reunification process, and the multiple stressors linked to all of this, is going to depend on a number of factors including (Yoshikawa &amp; </w:t>
      </w:r>
      <w:proofErr w:type="spellStart"/>
      <w:r>
        <w:rPr>
          <w:rFonts w:ascii="Times" w:hAnsi="Times" w:cs="Times"/>
          <w:color w:val="1A1718"/>
        </w:rPr>
        <w:t>Kholoptseva</w:t>
      </w:r>
      <w:proofErr w:type="spellEnd"/>
      <w:r>
        <w:rPr>
          <w:rFonts w:ascii="Times" w:hAnsi="Times" w:cs="Times"/>
          <w:color w:val="1A1718"/>
        </w:rPr>
        <w:t xml:space="preserve">, 2013): </w:t>
      </w:r>
    </w:p>
    <w:p w14:paraId="1596C8A0" w14:textId="77777777" w:rsidR="00EF4DFB" w:rsidRDefault="00EF4DFB" w:rsidP="00EF4DFB">
      <w:pPr>
        <w:widowControl w:val="0"/>
        <w:numPr>
          <w:ilvl w:val="0"/>
          <w:numId w:val="1"/>
        </w:numPr>
        <w:tabs>
          <w:tab w:val="left" w:pos="220"/>
          <w:tab w:val="left" w:pos="720"/>
        </w:tabs>
        <w:autoSpaceDE w:val="0"/>
        <w:autoSpaceDN w:val="0"/>
        <w:adjustRightInd w:val="0"/>
        <w:spacing w:after="240" w:line="280" w:lineRule="atLeast"/>
        <w:ind w:hanging="720"/>
        <w:rPr>
          <w:rFonts w:ascii="Times" w:hAnsi="Times" w:cs="Times"/>
          <w:color w:val="0E6EB1"/>
        </w:rPr>
      </w:pPr>
      <w:r>
        <w:rPr>
          <w:rFonts w:ascii="Times" w:hAnsi="Times" w:cs="Times"/>
          <w:color w:val="1A1718"/>
        </w:rPr>
        <w:t xml:space="preserve">Caregivers’ functioning: The quality of the </w:t>
      </w:r>
      <w:proofErr w:type="spellStart"/>
      <w:r>
        <w:rPr>
          <w:rFonts w:ascii="Times" w:hAnsi="Times" w:cs="Times"/>
          <w:color w:val="1A1718"/>
        </w:rPr>
        <w:t>caregiv</w:t>
      </w:r>
      <w:proofErr w:type="spellEnd"/>
      <w:r>
        <w:rPr>
          <w:rFonts w:ascii="Times" w:hAnsi="Times" w:cs="Times"/>
          <w:color w:val="1A1718"/>
        </w:rPr>
        <w:t>- </w:t>
      </w:r>
      <w:proofErr w:type="spellStart"/>
      <w:r>
        <w:rPr>
          <w:rFonts w:ascii="Times" w:hAnsi="Times" w:cs="Times"/>
          <w:color w:val="1A1718"/>
        </w:rPr>
        <w:t>ing</w:t>
      </w:r>
      <w:proofErr w:type="spellEnd"/>
      <w:r>
        <w:rPr>
          <w:rFonts w:ascii="Times" w:hAnsi="Times" w:cs="Times"/>
          <w:color w:val="1A1718"/>
        </w:rPr>
        <w:t xml:space="preserve"> environment (attuned to child’s needs, available to help the child make meaning of experiences, increase opportunities for self-regulation, provide consistency, predictability and protection) and the relationships in it, either with the biological family or the adults in charge of the child (foster parents, guardians chosen by the family) </w:t>
      </w:r>
      <w:r>
        <w:rPr>
          <w:rFonts w:ascii="Times" w:hAnsi="Times" w:cs="Times"/>
          <w:color w:val="0E6EB1"/>
        </w:rPr>
        <w:t> </w:t>
      </w:r>
    </w:p>
    <w:p w14:paraId="549B6BC7" w14:textId="77777777" w:rsidR="00EF4DFB" w:rsidRDefault="00EF4DFB" w:rsidP="00EF4DFB">
      <w:pPr>
        <w:widowControl w:val="0"/>
        <w:numPr>
          <w:ilvl w:val="0"/>
          <w:numId w:val="1"/>
        </w:numPr>
        <w:tabs>
          <w:tab w:val="left" w:pos="220"/>
          <w:tab w:val="left" w:pos="720"/>
        </w:tabs>
        <w:autoSpaceDE w:val="0"/>
        <w:autoSpaceDN w:val="0"/>
        <w:adjustRightInd w:val="0"/>
        <w:spacing w:after="240" w:line="280" w:lineRule="atLeast"/>
        <w:ind w:hanging="720"/>
        <w:rPr>
          <w:rFonts w:ascii="Times" w:hAnsi="Times" w:cs="Times"/>
          <w:color w:val="0E6EB1"/>
        </w:rPr>
      </w:pPr>
      <w:r>
        <w:rPr>
          <w:rFonts w:ascii="Times" w:hAnsi="Times" w:cs="Times"/>
          <w:color w:val="1A1718"/>
        </w:rPr>
        <w:t xml:space="preserve">Child’s strengths and vulnerabilities: Child’s tem- </w:t>
      </w:r>
      <w:proofErr w:type="spellStart"/>
      <w:r>
        <w:rPr>
          <w:rFonts w:ascii="Times" w:hAnsi="Times" w:cs="Times"/>
          <w:color w:val="1A1718"/>
        </w:rPr>
        <w:t>perament</w:t>
      </w:r>
      <w:proofErr w:type="spellEnd"/>
      <w:r>
        <w:rPr>
          <w:rFonts w:ascii="Times" w:hAnsi="Times" w:cs="Times"/>
          <w:color w:val="1A1718"/>
        </w:rPr>
        <w:t xml:space="preserve">, developmental, medical, socio-emotional, self-regulatory abilities, history of mental health issues and prior traumas </w:t>
      </w:r>
      <w:r>
        <w:rPr>
          <w:rFonts w:ascii="Times" w:hAnsi="Times" w:cs="Times"/>
          <w:color w:val="0E6EB1"/>
        </w:rPr>
        <w:t> </w:t>
      </w:r>
    </w:p>
    <w:p w14:paraId="6982A056"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0E6EB1"/>
        </w:rPr>
        <w:t xml:space="preserve">4. </w:t>
      </w:r>
      <w:r>
        <w:rPr>
          <w:rFonts w:ascii="Times" w:hAnsi="Times" w:cs="Times"/>
          <w:color w:val="1A1718"/>
        </w:rPr>
        <w:t xml:space="preserve">Access to developmentally appropriate, diversity- and trauma-informed mental health resources and services: As mentioned in this article, a great majority of families coming through the border with Mexico are nationals from Mexico and from the Northern Triangle. When thinking about appropriate interventions for these children and their caregivers, it is critical to address </w:t>
      </w:r>
    </w:p>
    <w:p w14:paraId="534DE46C"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the complexities and possible compounding effects of immigration trauma, historical trauma, and traumatic separation on child development, child developmental expectations, child–parent relationships, and family functioning. In addition, a multipronged, multilayered approach to intervention is recommended for addressing the multiple urgent needs (e.g., legal advice, assistance with concrete needs, safety planning) presented by </w:t>
      </w:r>
    </w:p>
    <w:p w14:paraId="6E40F3A0"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these children and families (</w:t>
      </w:r>
      <w:proofErr w:type="spellStart"/>
      <w:r>
        <w:rPr>
          <w:rFonts w:ascii="Times" w:hAnsi="Times" w:cs="Times"/>
          <w:color w:val="1A1718"/>
        </w:rPr>
        <w:t>Osofsky</w:t>
      </w:r>
      <w:proofErr w:type="spellEnd"/>
      <w:r>
        <w:rPr>
          <w:rFonts w:ascii="Times" w:hAnsi="Times" w:cs="Times"/>
          <w:color w:val="1A1718"/>
        </w:rPr>
        <w:t xml:space="preserve"> et al., 2018). This approach involves a comprehensive assessment (including obtaining information, as much as possible, on immigration and experiences of oppression), developmental guidance, dyadic relational treatment, parental support, and advocacy. The intervention pays attention to the child–parent relationships threatened or broken by immigration enforcement and helps to make meaning of the impact of this trauma on the child’s and the parent’s behaviors and their relationship. As part of the process, the clinician helps the caregiver(s) and the child to “speak the unspeakable” that in the case of children who were separated and placed in foster care (and/or with families, who were reunited) might include making meaning out of the separation, of what being undocumented means, and the creation of a safety plan addressing new threats. </w:t>
      </w:r>
    </w:p>
    <w:p w14:paraId="4CCF2CA6"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The following are more immediate strategies and resources to support children and the caregivers supporting them: </w:t>
      </w:r>
    </w:p>
    <w:p w14:paraId="42F0A8F5"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The Psychological First Aid (</w:t>
      </w:r>
      <w:proofErr w:type="spellStart"/>
      <w:r>
        <w:rPr>
          <w:rFonts w:ascii="Times" w:hAnsi="Times" w:cs="Times"/>
          <w:color w:val="1A1718"/>
        </w:rPr>
        <w:t>Brymer</w:t>
      </w:r>
      <w:proofErr w:type="spellEnd"/>
      <w:r>
        <w:rPr>
          <w:rFonts w:ascii="Times" w:hAnsi="Times" w:cs="Times"/>
          <w:color w:val="1A1718"/>
        </w:rPr>
        <w:t xml:space="preserve"> et al., 2006) provides a framework that allows providers to organize their actions while working with children and adults immediately after intense traumatic events. Even though this resource was created for implementation after disasters or terrorism, we believe that separated families would benefit from the usage of its guidelines. The eight core actions include: (a) contact and engagement in a non-intrusive and compassionate manner; (b) physical and emotional safety and comfort; </w:t>
      </w:r>
    </w:p>
    <w:p w14:paraId="258E91E0"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(c) stabilization, when needed to calm survivors’ overwhelmed feelings; (d) identify immediate needs and concerns; (e) offer practical help to address current needs and concerns; (f) connect survivors with persons or other helping social supports; (g) provide information and resources on coping, to promote adaptive functioning; and (h) link survivors with services for short- and long-term needs and concerns (</w:t>
      </w:r>
      <w:proofErr w:type="spellStart"/>
      <w:r>
        <w:rPr>
          <w:rFonts w:ascii="Times" w:hAnsi="Times" w:cs="Times"/>
          <w:color w:val="1A1718"/>
        </w:rPr>
        <w:t>Brymer</w:t>
      </w:r>
      <w:proofErr w:type="spellEnd"/>
      <w:r>
        <w:rPr>
          <w:rFonts w:ascii="Times" w:hAnsi="Times" w:cs="Times"/>
          <w:color w:val="1A1718"/>
        </w:rPr>
        <w:t xml:space="preserve"> et al., 2006). In the case of family separations at the border, they might need immediate legal assistance, and in the case of reunifications, referrals to mental health services and other family-centered supportive services should be a priority. (See Box 1.) </w:t>
      </w:r>
    </w:p>
    <w:p w14:paraId="697F142A" w14:textId="77777777" w:rsidR="00EF4DFB" w:rsidRDefault="00EF4DFB" w:rsidP="00EF4DFB">
      <w:pPr>
        <w:widowControl w:val="0"/>
        <w:autoSpaceDE w:val="0"/>
        <w:autoSpaceDN w:val="0"/>
        <w:adjustRightInd w:val="0"/>
        <w:spacing w:after="240" w:line="300" w:lineRule="atLeast"/>
        <w:rPr>
          <w:rFonts w:ascii="Times" w:hAnsi="Times" w:cs="Times"/>
          <w:color w:val="000000"/>
        </w:rPr>
      </w:pPr>
      <w:r>
        <w:rPr>
          <w:rFonts w:ascii="Times" w:hAnsi="Times" w:cs="Times"/>
          <w:color w:val="268C37"/>
          <w:sz w:val="26"/>
          <w:szCs w:val="26"/>
        </w:rPr>
        <w:t xml:space="preserve">Reunification </w:t>
      </w:r>
    </w:p>
    <w:p w14:paraId="4B358EA3"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Even when excitement may arise after knowing that families will be reunited; reunifications brings challenges that might be more demanding than the ones experienced during separation (González et al, 2017). Understand the unique effects of family separation on each child and family member, and develop per- </w:t>
      </w:r>
      <w:proofErr w:type="spellStart"/>
      <w:r>
        <w:rPr>
          <w:rFonts w:ascii="Times" w:hAnsi="Times" w:cs="Times"/>
          <w:color w:val="1A1718"/>
        </w:rPr>
        <w:t>sonalized</w:t>
      </w:r>
      <w:proofErr w:type="spellEnd"/>
      <w:r>
        <w:rPr>
          <w:rFonts w:ascii="Times" w:hAnsi="Times" w:cs="Times"/>
          <w:color w:val="1A1718"/>
        </w:rPr>
        <w:t xml:space="preserve"> strategies to help each family member manage the process of reunification (Lovato-Hermann, 2017). </w:t>
      </w:r>
    </w:p>
    <w:p w14:paraId="60ADD4F6"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According to </w:t>
      </w:r>
      <w:proofErr w:type="spellStart"/>
      <w:r>
        <w:rPr>
          <w:rFonts w:ascii="Times" w:hAnsi="Times" w:cs="Times"/>
          <w:color w:val="1A1718"/>
        </w:rPr>
        <w:t>Falicov</w:t>
      </w:r>
      <w:proofErr w:type="spellEnd"/>
      <w:r>
        <w:rPr>
          <w:rFonts w:ascii="Times" w:hAnsi="Times" w:cs="Times"/>
          <w:color w:val="1A1718"/>
        </w:rPr>
        <w:t xml:space="preserve">, (2007) “interventions for reunited families need to target making meaning out of the separation, restoring narrative coherence, and making family identity </w:t>
      </w:r>
      <w:proofErr w:type="gramStart"/>
      <w:r>
        <w:rPr>
          <w:rFonts w:ascii="Times" w:hAnsi="Times" w:cs="Times"/>
          <w:color w:val="1A1718"/>
        </w:rPr>
        <w:t>more clear</w:t>
      </w:r>
      <w:proofErr w:type="gramEnd"/>
      <w:r>
        <w:rPr>
          <w:rFonts w:ascii="Times" w:hAnsi="Times" w:cs="Times"/>
          <w:color w:val="1A1718"/>
        </w:rPr>
        <w:t xml:space="preserve">, because all of these are likely to have become blurred over the time of separation” (p. 160). </w:t>
      </w:r>
    </w:p>
    <w:p w14:paraId="07CFC1BB"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The Workgroup on Adapting Latino Services (2008) pro- vided guidelines for serving Latino children and their families when affected by trauma. These guidelines were developed to provide culturally sensitive and responsive mental health services to the diversity represented among Latinos in the US and highlight that trauma assessments and intervention for this population must be founded in evidence while paying attention to the unique needs of each family. </w:t>
      </w:r>
    </w:p>
    <w:p w14:paraId="4847C6AD"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One of the interventions aligned with this approach is Child–Parent Psychotherapy; Lieberman, &amp; Van Horn, 2005; Lieberman et al., 2015; Reyes, Stone, </w:t>
      </w:r>
      <w:proofErr w:type="spellStart"/>
      <w:r>
        <w:rPr>
          <w:rFonts w:ascii="Times" w:hAnsi="Times" w:cs="Times"/>
          <w:color w:val="1A1718"/>
        </w:rPr>
        <w:t>Dimmler</w:t>
      </w:r>
      <w:proofErr w:type="spellEnd"/>
      <w:r>
        <w:rPr>
          <w:rFonts w:ascii="Times" w:hAnsi="Times" w:cs="Times"/>
          <w:color w:val="1A1718"/>
        </w:rPr>
        <w:t xml:space="preserve">, &amp; Lieberman, 2017). This is a trauma-focused, relationship-based intervention for young children birth to 6 years old and their caregivers who have experienced a wide variety of traumas. Its main goal is </w:t>
      </w:r>
    </w:p>
    <w:p w14:paraId="049DA6FB"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the restoration of the child–parent relationship, which in turn is seen as the agent of change. Here the therapist’s working relationship with the child–parent dyad is used as the vehicle for treatment under the premise that the quality of the relationship with the therapist will affect the child-caregiver relationship (Reyes et al., 2017). </w:t>
      </w:r>
    </w:p>
    <w:p w14:paraId="2F1B8D47"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This empirically supported </w:t>
      </w:r>
      <w:proofErr w:type="spellStart"/>
      <w:r>
        <w:rPr>
          <w:rFonts w:ascii="Times" w:hAnsi="Times" w:cs="Times"/>
          <w:color w:val="1A1718"/>
        </w:rPr>
        <w:t>interventioncan</w:t>
      </w:r>
      <w:proofErr w:type="spellEnd"/>
      <w:r>
        <w:rPr>
          <w:rFonts w:ascii="Times" w:hAnsi="Times" w:cs="Times"/>
          <w:color w:val="1A1718"/>
        </w:rPr>
        <w:t xml:space="preserve"> be implemented with immigrant families, considering their unique experience, cultural beliefs, parenting practices and the intergenerational </w:t>
      </w:r>
      <w:proofErr w:type="spellStart"/>
      <w:r>
        <w:rPr>
          <w:rFonts w:ascii="Times" w:hAnsi="Times" w:cs="Times"/>
          <w:color w:val="1A1718"/>
        </w:rPr>
        <w:t>trasmission</w:t>
      </w:r>
      <w:proofErr w:type="spellEnd"/>
      <w:r>
        <w:rPr>
          <w:rFonts w:ascii="Times" w:hAnsi="Times" w:cs="Times"/>
          <w:color w:val="1A1718"/>
        </w:rPr>
        <w:t xml:space="preserve"> of trauma (</w:t>
      </w:r>
      <w:proofErr w:type="spellStart"/>
      <w:r>
        <w:rPr>
          <w:rFonts w:ascii="Times" w:hAnsi="Times" w:cs="Times"/>
          <w:color w:val="1A1718"/>
        </w:rPr>
        <w:t>Noroña</w:t>
      </w:r>
      <w:proofErr w:type="spellEnd"/>
      <w:r>
        <w:rPr>
          <w:rFonts w:ascii="Times" w:hAnsi="Times" w:cs="Times"/>
          <w:color w:val="1A1718"/>
        </w:rPr>
        <w:t xml:space="preserve">, 2011). </w:t>
      </w:r>
    </w:p>
    <w:p w14:paraId="4F07A912" w14:textId="0891F38C" w:rsidR="00EF4DFB" w:rsidRPr="00EF4DFB" w:rsidRDefault="00EF4DFB" w:rsidP="00EF4DFB">
      <w:pPr>
        <w:jc w:val="center"/>
        <w:rPr>
          <w:color w:val="4472C4" w:themeColor="accent1"/>
          <w:sz w:val="28"/>
        </w:rPr>
      </w:pPr>
      <w:r w:rsidRPr="00EF4DFB">
        <w:rPr>
          <w:color w:val="000000" w:themeColor="text1"/>
          <w:sz w:val="28"/>
          <w:highlight w:val="yellow"/>
        </w:rPr>
        <w:t>Academic Journal #2</w:t>
      </w:r>
      <w:r>
        <w:rPr>
          <w:color w:val="4472C4" w:themeColor="accent1"/>
          <w:sz w:val="28"/>
        </w:rPr>
        <w:t>:</w:t>
      </w:r>
      <w:r w:rsidRPr="00EF4DFB">
        <w:rPr>
          <w:color w:val="4472C4" w:themeColor="accent1"/>
          <w:sz w:val="28"/>
        </w:rPr>
        <w:t xml:space="preserve"> In Danger at the Border Parents Are Children’s Best Tool Against Toxic Stress</w:t>
      </w:r>
      <w:r w:rsidR="003B6658">
        <w:rPr>
          <w:color w:val="4472C4" w:themeColor="accent1"/>
          <w:sz w:val="28"/>
        </w:rPr>
        <w:t xml:space="preserve"> (pages 22-25)</w:t>
      </w:r>
    </w:p>
    <w:p w14:paraId="09CDADDD" w14:textId="6B50747E" w:rsidR="00EF4DFB" w:rsidRPr="00EF4DFB" w:rsidRDefault="00EF4DFB" w:rsidP="003B6658">
      <w:pPr>
        <w:jc w:val="center"/>
        <w:rPr>
          <w:color w:val="4472C4" w:themeColor="accent1"/>
          <w:sz w:val="28"/>
        </w:rPr>
      </w:pPr>
      <w:r w:rsidRPr="00EF4DFB">
        <w:rPr>
          <w:color w:val="4472C4" w:themeColor="accent1"/>
        </w:rPr>
        <w:t>Meghan</w:t>
      </w:r>
      <w:r w:rsidRPr="00EF4DFB">
        <w:rPr>
          <w:color w:val="4472C4" w:themeColor="accent1"/>
          <w:sz w:val="28"/>
        </w:rPr>
        <w:t xml:space="preserve"> E. </w:t>
      </w:r>
      <w:proofErr w:type="spellStart"/>
      <w:r w:rsidRPr="00EF4DFB">
        <w:rPr>
          <w:color w:val="4472C4" w:themeColor="accent1"/>
          <w:sz w:val="28"/>
        </w:rPr>
        <w:t>López</w:t>
      </w:r>
      <w:proofErr w:type="spellEnd"/>
      <w:r w:rsidR="003B6658">
        <w:rPr>
          <w:color w:val="4472C4" w:themeColor="accent1"/>
          <w:sz w:val="28"/>
        </w:rPr>
        <w:t xml:space="preserve">: </w:t>
      </w:r>
      <w:r w:rsidRPr="00EF4DFB">
        <w:rPr>
          <w:color w:val="4472C4" w:themeColor="accent1"/>
          <w:sz w:val="28"/>
        </w:rPr>
        <w:t>International Rescue Committee San Salvador, El Salvador</w:t>
      </w:r>
    </w:p>
    <w:p w14:paraId="3293A811" w14:textId="77777777" w:rsidR="00F4546B" w:rsidRDefault="00B86475">
      <w:pPr>
        <w:rPr>
          <w:color w:val="4472C4" w:themeColor="accent1"/>
        </w:rPr>
      </w:pPr>
    </w:p>
    <w:p w14:paraId="65A3512A"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have three children who, as I write this article, are digging in the garden and discussing fairies and magicians; earlier today they were riding bikes and drawing with chalk in the garage, their gleeful shouts echoing around the house. By happy fortune of birth, they are both U.S. and Salvadoran citizens. They are fortunate to speak two languages, feel at home in two cultures, go to good schools, live in a safe neighborhood, and have the protected luxury to wake up and think about what they would like to play and be confident that they will have enough to eat. They are further, and most importantly, fortunate to have two parents who love and care for them and provide them with that most important building block of development: constant stable caregivers who give them love and attention. </w:t>
      </w:r>
    </w:p>
    <w:p w14:paraId="456DB2EA"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We live in El Salvador, a country that is an intense study in con- </w:t>
      </w:r>
      <w:proofErr w:type="spellStart"/>
      <w:r>
        <w:rPr>
          <w:rFonts w:ascii="Times" w:hAnsi="Times" w:cs="Times"/>
          <w:color w:val="1A1718"/>
        </w:rPr>
        <w:t>trasts</w:t>
      </w:r>
      <w:proofErr w:type="spellEnd"/>
      <w:r>
        <w:rPr>
          <w:rFonts w:ascii="Times" w:hAnsi="Times" w:cs="Times"/>
          <w:color w:val="1A1718"/>
        </w:rPr>
        <w:t xml:space="preserve">—our neighborhood is protected and safe; I can walk to a branch of a major international coffee chain (though I would rather drink the local coffee, which is much better!); there are world-class beaches, breathtaking lakes carved out of volcanic craters, mountains that scrape the sky as the clouds dance up and over their peaks ... and yet El Salvador is also home to one of the highest rates of violence outside of an active war zone, and for many people in my adopted country life here is a war zone. El Salvador as a country is resilient. Since the 1980s, the people have lived through a 12-year civil war, two major earth- quakes, devastating hurricanes, a massive drought, a famine, and now the current levels of violence related to gang </w:t>
      </w:r>
      <w:proofErr w:type="spellStart"/>
      <w:r>
        <w:rPr>
          <w:rFonts w:ascii="Times" w:hAnsi="Times" w:cs="Times"/>
          <w:color w:val="1A1718"/>
        </w:rPr>
        <w:t>pres</w:t>
      </w:r>
      <w:proofErr w:type="spellEnd"/>
      <w:r>
        <w:rPr>
          <w:rFonts w:ascii="Times" w:hAnsi="Times" w:cs="Times"/>
          <w:color w:val="1A1718"/>
        </w:rPr>
        <w:t xml:space="preserve">- </w:t>
      </w:r>
      <w:proofErr w:type="spellStart"/>
      <w:r>
        <w:rPr>
          <w:rFonts w:ascii="Times" w:hAnsi="Times" w:cs="Times"/>
          <w:color w:val="1A1718"/>
        </w:rPr>
        <w:t>ence</w:t>
      </w:r>
      <w:proofErr w:type="spellEnd"/>
      <w:r>
        <w:rPr>
          <w:rFonts w:ascii="Times" w:hAnsi="Times" w:cs="Times"/>
          <w:color w:val="1A1718"/>
        </w:rPr>
        <w:t xml:space="preserve"> across the country. Approximately 6 million people live in El Salvador, of which an estimated 300,00 have been internally displaced in the last 5 years, and an estimated 60,000 are active gang members on the streets with another 10,000 in prison (ElSalvador.com, 2016). Also, there are an estimated additional 2 million citizens living outside the borders. The impact of </w:t>
      </w:r>
      <w:proofErr w:type="spellStart"/>
      <w:r>
        <w:rPr>
          <w:rFonts w:ascii="Times" w:hAnsi="Times" w:cs="Times"/>
          <w:color w:val="1A1718"/>
        </w:rPr>
        <w:t>vio</w:t>
      </w:r>
      <w:proofErr w:type="spellEnd"/>
      <w:r>
        <w:rPr>
          <w:rFonts w:ascii="Times" w:hAnsi="Times" w:cs="Times"/>
          <w:color w:val="1A1718"/>
        </w:rPr>
        <w:t xml:space="preserve">- </w:t>
      </w:r>
      <w:proofErr w:type="spellStart"/>
      <w:r>
        <w:rPr>
          <w:rFonts w:ascii="Times" w:hAnsi="Times" w:cs="Times"/>
          <w:color w:val="1A1718"/>
        </w:rPr>
        <w:t>lence</w:t>
      </w:r>
      <w:proofErr w:type="spellEnd"/>
      <w:r>
        <w:rPr>
          <w:rFonts w:ascii="Times" w:hAnsi="Times" w:cs="Times"/>
          <w:color w:val="1A1718"/>
        </w:rPr>
        <w:t xml:space="preserve"> is pervasive in El Salvador (</w:t>
      </w:r>
      <w:proofErr w:type="spellStart"/>
      <w:r>
        <w:rPr>
          <w:rFonts w:ascii="Times" w:hAnsi="Times" w:cs="Times"/>
          <w:color w:val="1A1718"/>
        </w:rPr>
        <w:t>Garsd</w:t>
      </w:r>
      <w:proofErr w:type="spellEnd"/>
      <w:r>
        <w:rPr>
          <w:rFonts w:ascii="Times" w:hAnsi="Times" w:cs="Times"/>
          <w:color w:val="1A1718"/>
        </w:rPr>
        <w:t xml:space="preserve">, 2015), with nearly every person having personal experience with at least one but more likely multiple traumatic experiences during their lifetime. </w:t>
      </w:r>
    </w:p>
    <w:p w14:paraId="1C75A21D"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The current situation of violence is a constant undercurrent in how people make decisions about what they will do, where they will go, and what time of day they can do these things. People talk about “the situation”, “the way things are”, “how it is” and any number of other allusions to refer to the gangs, gang violence, and the level of stress that the population endures. If people have resources, calculations to keep themselves and their family safe are easily done and become background noise. For those who are poor, this constant calculus combined with the real and visceral threats and consequences, creates a level of toxic stress in families that will continue to have </w:t>
      </w:r>
      <w:r>
        <w:rPr>
          <w:rFonts w:ascii="Times" w:hAnsi="Times" w:cs="Times"/>
          <w:color w:val="1A1718"/>
        </w:rPr>
        <w:t>r</w:t>
      </w:r>
      <w:r>
        <w:rPr>
          <w:rFonts w:ascii="Times" w:hAnsi="Times" w:cs="Times"/>
          <w:color w:val="1A1718"/>
        </w:rPr>
        <w:t xml:space="preserve">epercussions for much time to come. For children, their experience of toxic stress and that of their family is especially concerning, and parents know this. There is no parent living in a gang-controlled neighborhood who thinks their current situation is a good one—even the gang members. </w:t>
      </w:r>
    </w:p>
    <w:p w14:paraId="67D8E39C" w14:textId="77777777" w:rsidR="00EF4DFB" w:rsidRDefault="00EF4DFB" w:rsidP="00EF4DFB">
      <w:pPr>
        <w:widowControl w:val="0"/>
        <w:autoSpaceDE w:val="0"/>
        <w:autoSpaceDN w:val="0"/>
        <w:adjustRightInd w:val="0"/>
        <w:spacing w:after="240" w:line="360" w:lineRule="atLeast"/>
        <w:rPr>
          <w:rFonts w:ascii="Times" w:hAnsi="Times" w:cs="Times"/>
          <w:color w:val="000000"/>
        </w:rPr>
      </w:pPr>
      <w:r>
        <w:rPr>
          <w:rFonts w:ascii="Times" w:hAnsi="Times" w:cs="Times"/>
          <w:color w:val="0E6EB1"/>
          <w:sz w:val="32"/>
          <w:szCs w:val="32"/>
        </w:rPr>
        <w:t xml:space="preserve">The Children Are the Future </w:t>
      </w:r>
    </w:p>
    <w:p w14:paraId="06A0D6E7"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Children’s development is the cornerstone of the future of any country, not just developing countries and not just countries living in violence. The country’s human capacity needed for the future begins with early child development. For many developing countries, child development has historically been focused simply on survival: how many children will live past 5 years old (Ki-Moon, 2007). However, as programs that support survival to 5 (e.g., prenatal care, vaccinations, tropical disease prevention, dysentery treatment) have been successful in decreasing child mortality, other aspects of child development such as social–emotional and cognitive development have become a greater concern (Jensen et al., 2015). Social– emotional development is becoming more understood to be as essential as survival and physical development, perhaps even as the key to both. </w:t>
      </w:r>
    </w:p>
    <w:p w14:paraId="63611FBA"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Child development experts (</w:t>
      </w:r>
      <w:proofErr w:type="spellStart"/>
      <w:r>
        <w:rPr>
          <w:rFonts w:ascii="Times" w:hAnsi="Times" w:cs="Times"/>
          <w:color w:val="1A1718"/>
        </w:rPr>
        <w:t>Shonkoff</w:t>
      </w:r>
      <w:proofErr w:type="spellEnd"/>
      <w:r>
        <w:rPr>
          <w:rFonts w:ascii="Times" w:hAnsi="Times" w:cs="Times"/>
          <w:color w:val="1A1718"/>
        </w:rPr>
        <w:t>, Garner, and The Committee on Psychosocial Aspects of Child and Family Health, Committee on Early Childhood, Adoption, and Dependent Care, and Section on Developmental and Behavioral Pediatrics, 2012) posit stable responsive relationships as one of three essential components for healthy development including also a healthy environment and sound and appropriate nutrition. A stable and responsive relationship is essential for healthy development as it “provides young children with consistent, nurturing, and protective interactions with adults to enhance their learning and help them develop adaptive capacities that promote well- regulated stress-response systems” (</w:t>
      </w:r>
      <w:proofErr w:type="spellStart"/>
      <w:r>
        <w:rPr>
          <w:rFonts w:ascii="Times" w:hAnsi="Times" w:cs="Times"/>
          <w:color w:val="1A1718"/>
        </w:rPr>
        <w:t>Shonkoff</w:t>
      </w:r>
      <w:proofErr w:type="spellEnd"/>
      <w:r>
        <w:rPr>
          <w:rFonts w:ascii="Times" w:hAnsi="Times" w:cs="Times"/>
          <w:color w:val="1A1718"/>
        </w:rPr>
        <w:t xml:space="preserve"> et al., 2012, e240). Love, attention, and the stability for the children of knowing that they will receive this affection and have their basic needs met is the foundation of a stable child–caregiver relationship. It is a defining characteristic of stable relationships that they endure even in adverse situations in which they are even more essential for children’s well-being. </w:t>
      </w:r>
    </w:p>
    <w:p w14:paraId="200B0B2C" w14:textId="77777777" w:rsidR="00EF4DFB" w:rsidRDefault="00EF4DFB" w:rsidP="00EF4DFB">
      <w:pPr>
        <w:widowControl w:val="0"/>
        <w:autoSpaceDE w:val="0"/>
        <w:autoSpaceDN w:val="0"/>
        <w:adjustRightInd w:val="0"/>
        <w:spacing w:after="240" w:line="360" w:lineRule="atLeast"/>
        <w:rPr>
          <w:rFonts w:ascii="Times" w:hAnsi="Times" w:cs="Times"/>
          <w:color w:val="000000"/>
        </w:rPr>
      </w:pPr>
      <w:r>
        <w:rPr>
          <w:rFonts w:ascii="Times" w:hAnsi="Times" w:cs="Times"/>
          <w:color w:val="0E6EB1"/>
          <w:sz w:val="32"/>
          <w:szCs w:val="32"/>
        </w:rPr>
        <w:t xml:space="preserve">Adverse Childhood Experiences </w:t>
      </w:r>
    </w:p>
    <w:p w14:paraId="62B86056"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Child development can be significantly impacted by genetics, environment, and opportunities for development as well as experiences. Adverse childhood experiences, or ACEs, are stressful experiences occurring during childhood that directly hurt children or affect them through the environment in which they live (</w:t>
      </w:r>
      <w:proofErr w:type="spellStart"/>
      <w:r>
        <w:rPr>
          <w:rFonts w:ascii="Times" w:hAnsi="Times" w:cs="Times"/>
          <w:color w:val="1A1718"/>
        </w:rPr>
        <w:t>Felitti</w:t>
      </w:r>
      <w:proofErr w:type="spellEnd"/>
      <w:r>
        <w:rPr>
          <w:rFonts w:ascii="Times" w:hAnsi="Times" w:cs="Times"/>
          <w:color w:val="1A1718"/>
        </w:rPr>
        <w:t xml:space="preserve"> et al., 1998). ACEs include 10–13 items (depending on whether the scale is the US-based or international version) such as abuse, violence, poverty, and lack of stability in the home and with caregivers. Exposure to ACEs can alter how children’s brains develop as well as the development of their immunological and hormonal systems (Reuben et al., 2016). </w:t>
      </w:r>
    </w:p>
    <w:p w14:paraId="5654BCC6"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0E6EB1"/>
        </w:rPr>
        <w:t xml:space="preserve">El Salvador is a study in contrasts, including world-class beaches and breathtaking lakes carved out of volcanic craters. </w:t>
      </w:r>
    </w:p>
    <w:p w14:paraId="0BDAE999"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ACEs or stressful experiences cause a biological response that triggers the body’s survival instincts. The body responds to stress by increasing heart rate and blood pressure and releasing high quantities of hormones such as cortisol (Sheridan &amp; McLaughlin, 2014). This reaction is the body’s “fight-or-flight” self-preservation instinct. A one-time or short-lived stress response can be a positive and protective response by the body. While a healthy adult is able to regulate her response to stressors by distinguishing threats from non-threats, children do not have adequately developed neural structures or sufficient prior experiences to successfully navigate stressful experiences (</w:t>
      </w:r>
      <w:proofErr w:type="spellStart"/>
      <w:r>
        <w:rPr>
          <w:rFonts w:ascii="Times" w:hAnsi="Times" w:cs="Times"/>
          <w:color w:val="1A1718"/>
        </w:rPr>
        <w:t>Montroy</w:t>
      </w:r>
      <w:proofErr w:type="spellEnd"/>
      <w:r>
        <w:rPr>
          <w:rFonts w:ascii="Times" w:hAnsi="Times" w:cs="Times"/>
          <w:color w:val="1A1718"/>
        </w:rPr>
        <w:t xml:space="preserve">, Bowles, </w:t>
      </w:r>
      <w:proofErr w:type="spellStart"/>
      <w:r>
        <w:rPr>
          <w:rFonts w:ascii="Times" w:hAnsi="Times" w:cs="Times"/>
          <w:color w:val="1A1718"/>
        </w:rPr>
        <w:t>Skibbe</w:t>
      </w:r>
      <w:proofErr w:type="spellEnd"/>
      <w:r>
        <w:rPr>
          <w:rFonts w:ascii="Times" w:hAnsi="Times" w:cs="Times"/>
          <w:color w:val="1A1718"/>
        </w:rPr>
        <w:t xml:space="preserve">, McClelland, &amp; Morrison, 2016). As the neural </w:t>
      </w:r>
      <w:proofErr w:type="gramStart"/>
      <w:r>
        <w:rPr>
          <w:rFonts w:ascii="Times" w:hAnsi="Times" w:cs="Times"/>
          <w:color w:val="1A1718"/>
        </w:rPr>
        <w:t>connections</w:t>
      </w:r>
      <w:proofErr w:type="gramEnd"/>
      <w:r>
        <w:rPr>
          <w:rFonts w:ascii="Times" w:hAnsi="Times" w:cs="Times"/>
          <w:color w:val="1A1718"/>
        </w:rPr>
        <w:t xml:space="preserve"> governing stress response are reinforced through frequent usage for children who experience ongoing stress and violence, fight-or-flight responses become the predominant pathways the brain uses to assess situations. </w:t>
      </w:r>
    </w:p>
    <w:p w14:paraId="68405B1C"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A fight-or-flight response as the predominant response mechanism by children to stimulants and stressors, regardless of whether they are big or small, is an indicator of prolonged exposure to “toxic stress” (McEwen &amp; </w:t>
      </w:r>
      <w:proofErr w:type="spellStart"/>
      <w:r>
        <w:rPr>
          <w:rFonts w:ascii="Times" w:hAnsi="Times" w:cs="Times"/>
          <w:color w:val="1A1718"/>
        </w:rPr>
        <w:t>McEwen</w:t>
      </w:r>
      <w:proofErr w:type="spellEnd"/>
      <w:r>
        <w:rPr>
          <w:rFonts w:ascii="Times" w:hAnsi="Times" w:cs="Times"/>
          <w:color w:val="1A1718"/>
        </w:rPr>
        <w:t xml:space="preserve">, 2017). </w:t>
      </w:r>
    </w:p>
    <w:p w14:paraId="07F43AC9" w14:textId="77777777" w:rsidR="00EF4DFB" w:rsidRDefault="00EF4DFB" w:rsidP="00EF4DFB">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Within the brain’s physical structure, toxic stress causes the brain’s more primitive areas to become overdeveloped, while areas responsible for emotional control and rational decision- making, such as the cerebral cortex, are underdeveloped (Middlebrooks, &amp; </w:t>
      </w:r>
      <w:proofErr w:type="spellStart"/>
      <w:r>
        <w:rPr>
          <w:rFonts w:ascii="Times" w:hAnsi="Times" w:cs="Times"/>
          <w:color w:val="1A1718"/>
        </w:rPr>
        <w:t>Audage</w:t>
      </w:r>
      <w:proofErr w:type="spellEnd"/>
      <w:r>
        <w:rPr>
          <w:rFonts w:ascii="Times" w:hAnsi="Times" w:cs="Times"/>
          <w:color w:val="1A1718"/>
        </w:rPr>
        <w:t xml:space="preserve">, 2008). Children who live in high- stress/violence situations or are constantly subject to negative situations, become “locked” into a higher state of alertness, have well-developed abilities to recognize anger, and they become defensive with less provocation than children nurtured in a safe environment (Gunnar, &amp; </w:t>
      </w:r>
      <w:proofErr w:type="spellStart"/>
      <w:r>
        <w:rPr>
          <w:rFonts w:ascii="Times" w:hAnsi="Times" w:cs="Times"/>
          <w:color w:val="1A1718"/>
        </w:rPr>
        <w:t>Quevedo</w:t>
      </w:r>
      <w:proofErr w:type="spellEnd"/>
      <w:r>
        <w:rPr>
          <w:rFonts w:ascii="Times" w:hAnsi="Times" w:cs="Times"/>
          <w:color w:val="1A1718"/>
        </w:rPr>
        <w:t xml:space="preserve">, 2007). </w:t>
      </w:r>
    </w:p>
    <w:p w14:paraId="3F7FDCEE" w14:textId="77777777" w:rsidR="00F61336" w:rsidRDefault="00EF4DFB" w:rsidP="00F61336">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Research consistently demonstrates that the more stress </w:t>
      </w:r>
      <w:proofErr w:type="spellStart"/>
      <w:r>
        <w:rPr>
          <w:rFonts w:ascii="Times" w:hAnsi="Times" w:cs="Times"/>
          <w:color w:val="1A1718"/>
        </w:rPr>
        <w:t>chil</w:t>
      </w:r>
      <w:proofErr w:type="spellEnd"/>
      <w:r>
        <w:rPr>
          <w:rFonts w:ascii="Times" w:hAnsi="Times" w:cs="Times"/>
          <w:color w:val="1A1718"/>
        </w:rPr>
        <w:t xml:space="preserve">- </w:t>
      </w:r>
      <w:proofErr w:type="spellStart"/>
      <w:r>
        <w:rPr>
          <w:rFonts w:ascii="Times" w:hAnsi="Times" w:cs="Times"/>
          <w:color w:val="1A1718"/>
        </w:rPr>
        <w:t>dren</w:t>
      </w:r>
      <w:proofErr w:type="spellEnd"/>
      <w:r>
        <w:rPr>
          <w:rFonts w:ascii="Times" w:hAnsi="Times" w:cs="Times"/>
          <w:color w:val="1A1718"/>
        </w:rPr>
        <w:t xml:space="preserve"> are exposed to, especially in critical development periods like zero to 3 years old, the less energy they have available for their physical, mental, or emotional development. The impact of a high ACEs score begins with the stressful experience itself and continues through adolescence into adulthood as stress </w:t>
      </w:r>
      <w:r w:rsidR="00F61336">
        <w:rPr>
          <w:rFonts w:ascii="Times" w:hAnsi="Times" w:cs="Times"/>
          <w:color w:val="1A1718"/>
        </w:rPr>
        <w:t xml:space="preserve">changes the actual brain architecture. Increased exposure to ACEs predisposes children to health concerns that last across the lifespan such as mental health illnesses and diseases such as cancer, heart disease, and diabetes. Experiencing higher levels of ACEs also correlates with poor social–emotional well-being as demonstrated by increased likelihood (a) of poor performance in school, (b) of involvement in criminal activity, and (c) to be both perpetrator and victim of violence; all of which decrease the likelihood of being a productive member of society (Brown et al., 2009). </w:t>
      </w:r>
    </w:p>
    <w:p w14:paraId="274B5ADF" w14:textId="77777777" w:rsidR="00F61336" w:rsidRDefault="00F61336" w:rsidP="00F61336">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Happily, there is one factor that is consistently shown to </w:t>
      </w:r>
      <w:proofErr w:type="spellStart"/>
      <w:r>
        <w:rPr>
          <w:rFonts w:ascii="Times" w:hAnsi="Times" w:cs="Times"/>
          <w:color w:val="1A1718"/>
        </w:rPr>
        <w:t>coun</w:t>
      </w:r>
      <w:proofErr w:type="spellEnd"/>
      <w:r>
        <w:rPr>
          <w:rFonts w:ascii="Times" w:hAnsi="Times" w:cs="Times"/>
          <w:color w:val="1A1718"/>
        </w:rPr>
        <w:t xml:space="preserve">- </w:t>
      </w:r>
      <w:proofErr w:type="spellStart"/>
      <w:r>
        <w:rPr>
          <w:rFonts w:ascii="Times" w:hAnsi="Times" w:cs="Times"/>
          <w:color w:val="1A1718"/>
        </w:rPr>
        <w:t>teract</w:t>
      </w:r>
      <w:proofErr w:type="spellEnd"/>
      <w:r>
        <w:rPr>
          <w:rFonts w:ascii="Times" w:hAnsi="Times" w:cs="Times"/>
          <w:color w:val="1A1718"/>
        </w:rPr>
        <w:t xml:space="preserve"> the effects of ACEs and promote resilience and even more happily this factor is not an expensive intervention—a constant stable relationship in the form of a caring caregiver (ideally mom or dad, but it can be any adult). </w:t>
      </w:r>
    </w:p>
    <w:p w14:paraId="10E9F0A3" w14:textId="77777777" w:rsidR="00F61336" w:rsidRDefault="00F61336" w:rsidP="00F61336">
      <w:pPr>
        <w:widowControl w:val="0"/>
        <w:autoSpaceDE w:val="0"/>
        <w:autoSpaceDN w:val="0"/>
        <w:adjustRightInd w:val="0"/>
        <w:spacing w:after="240" w:line="360" w:lineRule="atLeast"/>
        <w:rPr>
          <w:rFonts w:ascii="Times" w:hAnsi="Times" w:cs="Times"/>
          <w:color w:val="000000"/>
        </w:rPr>
      </w:pPr>
      <w:r>
        <w:rPr>
          <w:rFonts w:ascii="Times" w:hAnsi="Times" w:cs="Times"/>
          <w:color w:val="0E6EB1"/>
          <w:sz w:val="32"/>
          <w:szCs w:val="32"/>
        </w:rPr>
        <w:t xml:space="preserve">The Importance of Stable, Responsive Relationships </w:t>
      </w:r>
    </w:p>
    <w:p w14:paraId="79C14599" w14:textId="77777777" w:rsidR="00F61336" w:rsidRDefault="00F61336" w:rsidP="00F61336">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For infants and young children, caregiving mitigates the stress response, with the caregiver–child relationship serving as a buffer against stressful experiences (Gunnar &amp; </w:t>
      </w:r>
      <w:proofErr w:type="spellStart"/>
      <w:r>
        <w:rPr>
          <w:rFonts w:ascii="Times" w:hAnsi="Times" w:cs="Times"/>
          <w:color w:val="1A1718"/>
        </w:rPr>
        <w:t>Quevedo</w:t>
      </w:r>
      <w:proofErr w:type="spellEnd"/>
      <w:r>
        <w:rPr>
          <w:rFonts w:ascii="Times" w:hAnsi="Times" w:cs="Times"/>
          <w:color w:val="1A1718"/>
        </w:rPr>
        <w:t xml:space="preserve">, 2007). Caregivers can help a child recover from stressful events by showing consistent responses to his emotions, modifying the environment as needed to provide buffers from stressful situ- </w:t>
      </w:r>
      <w:proofErr w:type="spellStart"/>
      <w:r>
        <w:rPr>
          <w:rFonts w:ascii="Times" w:hAnsi="Times" w:cs="Times"/>
          <w:color w:val="1A1718"/>
        </w:rPr>
        <w:t>ations</w:t>
      </w:r>
      <w:proofErr w:type="spellEnd"/>
      <w:r>
        <w:rPr>
          <w:rFonts w:ascii="Times" w:hAnsi="Times" w:cs="Times"/>
          <w:color w:val="1A1718"/>
        </w:rPr>
        <w:t xml:space="preserve">, and soothing the child (Witten, 2010). Consistent and responsive attention to children from infancy helps build the neurobiological capacity to tolerate future stress by instilling a sense of security and supporting a greater capacity to tolerate stress (Perry, 2001). Nurturing relationships with caregivers and exposure to other positive experiences promote a strong foundation for healthy brain development. The confidence of a stable emotional space through a protected caring relationship is essential for children, because when the brain is not engaged in mere survival of real or perceived threats, it is able to </w:t>
      </w:r>
      <w:proofErr w:type="spellStart"/>
      <w:r>
        <w:rPr>
          <w:rFonts w:ascii="Times" w:hAnsi="Times" w:cs="Times"/>
          <w:color w:val="1A1718"/>
        </w:rPr>
        <w:t>dedi</w:t>
      </w:r>
      <w:proofErr w:type="spellEnd"/>
      <w:r>
        <w:rPr>
          <w:rFonts w:ascii="Times" w:hAnsi="Times" w:cs="Times"/>
          <w:color w:val="1A1718"/>
        </w:rPr>
        <w:t xml:space="preserve">- cate energy to development. </w:t>
      </w:r>
    </w:p>
    <w:p w14:paraId="0697FB1E" w14:textId="77777777" w:rsidR="00F61336" w:rsidRDefault="00F61336" w:rsidP="00F61336">
      <w:pPr>
        <w:widowControl w:val="0"/>
        <w:autoSpaceDE w:val="0"/>
        <w:autoSpaceDN w:val="0"/>
        <w:adjustRightInd w:val="0"/>
        <w:spacing w:after="240" w:line="360" w:lineRule="atLeast"/>
        <w:rPr>
          <w:rFonts w:ascii="Times" w:hAnsi="Times" w:cs="Times"/>
          <w:color w:val="000000"/>
        </w:rPr>
      </w:pPr>
      <w:r>
        <w:rPr>
          <w:rFonts w:ascii="Times" w:hAnsi="Times" w:cs="Times"/>
          <w:color w:val="0E6EB1"/>
          <w:sz w:val="32"/>
          <w:szCs w:val="32"/>
        </w:rPr>
        <w:t xml:space="preserve">Out of the Fire and Into the Frying Pan </w:t>
      </w:r>
    </w:p>
    <w:p w14:paraId="0F895D2E" w14:textId="77777777" w:rsidR="00F61336" w:rsidRDefault="00F61336" w:rsidP="00F61336">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People who have experienced high ACEs scores as children often raise their own children in situations that cause those children to similarly have high ACEs, creating a </w:t>
      </w:r>
      <w:proofErr w:type="spellStart"/>
      <w:r>
        <w:rPr>
          <w:rFonts w:ascii="Times" w:hAnsi="Times" w:cs="Times"/>
          <w:color w:val="1A1718"/>
        </w:rPr>
        <w:t>transgener</w:t>
      </w:r>
      <w:proofErr w:type="spellEnd"/>
      <w:r>
        <w:rPr>
          <w:rFonts w:ascii="Times" w:hAnsi="Times" w:cs="Times"/>
          <w:color w:val="1A1718"/>
        </w:rPr>
        <w:t xml:space="preserve">- </w:t>
      </w:r>
      <w:proofErr w:type="spellStart"/>
      <w:r>
        <w:rPr>
          <w:rFonts w:ascii="Times" w:hAnsi="Times" w:cs="Times"/>
          <w:color w:val="1A1718"/>
        </w:rPr>
        <w:t>ational</w:t>
      </w:r>
      <w:proofErr w:type="spellEnd"/>
      <w:r>
        <w:rPr>
          <w:rFonts w:ascii="Times" w:hAnsi="Times" w:cs="Times"/>
          <w:color w:val="1A1718"/>
        </w:rPr>
        <w:t xml:space="preserve"> experience in which the cycle of childhood adversity is difficult to break (Merrick et al., 2017). It is not that parents don’t know that the situation their child is living in is not ideal, it is that they don’t have another option or they themselves have low levels of resilience from surviving a lifetime of toxic stress and have difficulty planning a different future. However, this is an important question: Why would a parent take a child from her home and from her country</w:t>
      </w:r>
      <w:r>
        <w:rPr>
          <w:rFonts w:ascii="Times" w:hAnsi="Times" w:cs="Times"/>
          <w:color w:val="1A1718"/>
        </w:rPr>
        <w:t xml:space="preserve"> of origin; go through multi-</w:t>
      </w:r>
      <w:proofErr w:type="spellStart"/>
      <w:r>
        <w:rPr>
          <w:rFonts w:ascii="Times" w:hAnsi="Times" w:cs="Times"/>
          <w:color w:val="1A1718"/>
        </w:rPr>
        <w:t>ple</w:t>
      </w:r>
      <w:proofErr w:type="spellEnd"/>
      <w:r>
        <w:rPr>
          <w:rFonts w:ascii="Times" w:hAnsi="Times" w:cs="Times"/>
          <w:color w:val="1A1718"/>
        </w:rPr>
        <w:t xml:space="preserve"> gang territories; pay more than their annual income while risking rape, extortion, human trafficking, and abuse; cross multiple international borders; and risk having the child taken from her? Simple: it seems like a better option. </w:t>
      </w:r>
    </w:p>
    <w:p w14:paraId="23C878CB" w14:textId="77777777" w:rsidR="00F61336" w:rsidRDefault="00F61336" w:rsidP="00F61336">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How could that be a better option? For families that choose to take this journey fraught with danger, the possible risks of the journey and the new unknown give a possibility of future safety, while remaining where they are gives certain danger. A decrease in the legal options for seeking asylum (and even when it is possible to request asylum, the approval rates </w:t>
      </w:r>
    </w:p>
    <w:p w14:paraId="5CCEB75F" w14:textId="77777777" w:rsidR="00F61336" w:rsidRDefault="00F61336" w:rsidP="00F61336">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are quite low) makes the actual situation worse. Decreasing opportunities to seek asylum does not keep a 6-year-old boy from being a target for recruitment by gangs, it does not protect a 13-year-old girl from being told that she must become a gang member’s girlfriend or have her family killed, it does not protect a family from extortion, and it doesn’t take away the terror of “VER, OIR y CALLAR”—See it, </w:t>
      </w:r>
      <w:proofErr w:type="gramStart"/>
      <w:r>
        <w:rPr>
          <w:rFonts w:ascii="Times" w:hAnsi="Times" w:cs="Times"/>
          <w:color w:val="1A1718"/>
        </w:rPr>
        <w:t>Hear</w:t>
      </w:r>
      <w:proofErr w:type="gramEnd"/>
      <w:r>
        <w:rPr>
          <w:rFonts w:ascii="Times" w:hAnsi="Times" w:cs="Times"/>
          <w:color w:val="1A1718"/>
        </w:rPr>
        <w:t xml:space="preserve"> it, Be quiet–which is painted on walls after gang retribution to make sure people understand the limited scope of their power. </w:t>
      </w:r>
    </w:p>
    <w:p w14:paraId="015D9720" w14:textId="77777777" w:rsidR="00F61336" w:rsidRDefault="00F61336" w:rsidP="00F61336">
      <w:pPr>
        <w:widowControl w:val="0"/>
        <w:autoSpaceDE w:val="0"/>
        <w:autoSpaceDN w:val="0"/>
        <w:adjustRightInd w:val="0"/>
        <w:spacing w:after="240" w:line="360" w:lineRule="atLeast"/>
        <w:rPr>
          <w:rFonts w:ascii="Times" w:hAnsi="Times" w:cs="Times"/>
          <w:color w:val="000000"/>
        </w:rPr>
      </w:pPr>
      <w:r>
        <w:rPr>
          <w:rFonts w:ascii="Times" w:hAnsi="Times" w:cs="Times"/>
          <w:color w:val="0E6EB1"/>
          <w:sz w:val="32"/>
          <w:szCs w:val="32"/>
        </w:rPr>
        <w:t xml:space="preserve">One Light Where There Is No Power </w:t>
      </w:r>
    </w:p>
    <w:p w14:paraId="7E7B5168" w14:textId="77777777" w:rsidR="00095F86" w:rsidRDefault="00F61336" w:rsidP="00095F86">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The best-known way to combat toxic stress is through </w:t>
      </w:r>
      <w:proofErr w:type="spellStart"/>
      <w:r>
        <w:rPr>
          <w:rFonts w:ascii="Times" w:hAnsi="Times" w:cs="Times"/>
          <w:color w:val="1A1718"/>
        </w:rPr>
        <w:t>provid</w:t>
      </w:r>
      <w:proofErr w:type="spellEnd"/>
      <w:r>
        <w:rPr>
          <w:rFonts w:ascii="Times" w:hAnsi="Times" w:cs="Times"/>
          <w:color w:val="1A1718"/>
        </w:rPr>
        <w:t xml:space="preserve">- </w:t>
      </w:r>
      <w:proofErr w:type="spellStart"/>
      <w:r>
        <w:rPr>
          <w:rFonts w:ascii="Times" w:hAnsi="Times" w:cs="Times"/>
          <w:color w:val="1A1718"/>
        </w:rPr>
        <w:t>ing</w:t>
      </w:r>
      <w:proofErr w:type="spellEnd"/>
      <w:r>
        <w:rPr>
          <w:rFonts w:ascii="Times" w:hAnsi="Times" w:cs="Times"/>
          <w:color w:val="1A1718"/>
        </w:rPr>
        <w:t xml:space="preserve"> a stable and caring caregiver, and yet the “zero tolerance” policy of the Trump administration led to more than 2,000 children being separated from their family members at the U.S. border without knowing when or if they will ever see their family members again. While the administration amended this policy with an executive order in June 2018 to “maintain family unity,” there was no clear plan, and at the time of this writing there still is no clear plan, for the reunification of the separated </w:t>
      </w:r>
      <w:r w:rsidR="00095F86">
        <w:rPr>
          <w:rFonts w:ascii="Times" w:hAnsi="Times" w:cs="Times"/>
          <w:color w:val="1A1718"/>
        </w:rPr>
        <w:t xml:space="preserve">children and parents. The compounded trauma of leaving a terrifying situation, going on a terrifying journey, and then the separation from parents at the border is what makes the </w:t>
      </w:r>
      <w:proofErr w:type="spellStart"/>
      <w:r w:rsidR="00095F86">
        <w:rPr>
          <w:rFonts w:ascii="Times" w:hAnsi="Times" w:cs="Times"/>
          <w:color w:val="1A1718"/>
        </w:rPr>
        <w:t>situa</w:t>
      </w:r>
      <w:proofErr w:type="spellEnd"/>
      <w:r w:rsidR="00095F86">
        <w:rPr>
          <w:rFonts w:ascii="Times" w:hAnsi="Times" w:cs="Times"/>
          <w:color w:val="1A1718"/>
        </w:rPr>
        <w:t xml:space="preserve">- </w:t>
      </w:r>
      <w:proofErr w:type="spellStart"/>
      <w:r w:rsidR="00095F86">
        <w:rPr>
          <w:rFonts w:ascii="Times" w:hAnsi="Times" w:cs="Times"/>
          <w:color w:val="1A1718"/>
        </w:rPr>
        <w:t>tion</w:t>
      </w:r>
      <w:proofErr w:type="spellEnd"/>
      <w:r w:rsidR="00095F86">
        <w:rPr>
          <w:rFonts w:ascii="Times" w:hAnsi="Times" w:cs="Times"/>
          <w:color w:val="1A1718"/>
        </w:rPr>
        <w:t xml:space="preserve"> so very concerning. The younger the child, and the longer the separation, the more concerning. </w:t>
      </w:r>
    </w:p>
    <w:p w14:paraId="5BEEF81E" w14:textId="77777777" w:rsidR="00095F86" w:rsidRDefault="00095F86" w:rsidP="00095F86">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For the children in “tender age facilities” the impact on the child’s sense of attachment with their caregiver (parent) is heart-wrenching, but more importantly it has devastating developmental impact. A child normally learns between 9 months and 18 months old to trust that a parent or caregiver will return when they are not visible, and the child’s sense of attachment continues to strengthen through the critical period up to 3 years. But researchers know that if the parent or care- giver disappears and doesn’t return and the child is cared for by multiple people without care and affection, this loss can affect the child’s ability to form healthy attachment throughout life, even as an adult. </w:t>
      </w:r>
    </w:p>
    <w:p w14:paraId="79B18D82" w14:textId="77777777" w:rsidR="00095F86" w:rsidRDefault="00095F86" w:rsidP="00095F86">
      <w:pPr>
        <w:widowControl w:val="0"/>
        <w:autoSpaceDE w:val="0"/>
        <w:autoSpaceDN w:val="0"/>
        <w:adjustRightInd w:val="0"/>
        <w:spacing w:after="240" w:line="280" w:lineRule="atLeast"/>
        <w:rPr>
          <w:rFonts w:ascii="Times" w:hAnsi="Times" w:cs="Times"/>
          <w:color w:val="000000"/>
        </w:rPr>
      </w:pPr>
      <w:r>
        <w:rPr>
          <w:rFonts w:ascii="Times" w:hAnsi="Times" w:cs="Times"/>
          <w:color w:val="1A1718"/>
        </w:rPr>
        <w:t>Evidence demonstrates that children under 3 years old are particularly vulnerable to developmental delays when not provided with appropriate care and attention (Johnson, Brown, Hamilton-</w:t>
      </w:r>
      <w:proofErr w:type="spellStart"/>
      <w:r>
        <w:rPr>
          <w:rFonts w:ascii="Times" w:hAnsi="Times" w:cs="Times"/>
          <w:color w:val="1A1718"/>
        </w:rPr>
        <w:t>Giachritsis</w:t>
      </w:r>
      <w:proofErr w:type="spellEnd"/>
      <w:r>
        <w:rPr>
          <w:rFonts w:ascii="Times" w:hAnsi="Times" w:cs="Times"/>
          <w:color w:val="1A1718"/>
        </w:rPr>
        <w:t xml:space="preserve">, 2006; </w:t>
      </w:r>
      <w:proofErr w:type="spellStart"/>
      <w:r>
        <w:rPr>
          <w:rFonts w:ascii="Times" w:hAnsi="Times" w:cs="Times"/>
          <w:color w:val="1A1718"/>
        </w:rPr>
        <w:t>Smyke</w:t>
      </w:r>
      <w:proofErr w:type="spellEnd"/>
      <w:r>
        <w:rPr>
          <w:rFonts w:ascii="Times" w:hAnsi="Times" w:cs="Times"/>
          <w:color w:val="1A1718"/>
        </w:rPr>
        <w:t xml:space="preserve">, </w:t>
      </w:r>
      <w:proofErr w:type="spellStart"/>
      <w:r>
        <w:rPr>
          <w:rFonts w:ascii="Times" w:hAnsi="Times" w:cs="Times"/>
          <w:color w:val="1A1718"/>
        </w:rPr>
        <w:t>Zeanah</w:t>
      </w:r>
      <w:proofErr w:type="spellEnd"/>
      <w:r>
        <w:rPr>
          <w:rFonts w:ascii="Times" w:hAnsi="Times" w:cs="Times"/>
          <w:color w:val="1A1718"/>
        </w:rPr>
        <w:t>, Fox, &amp; Nelson, 2009). More important, there is a strong body of international evidence that shows the positive effects of quality care and attention (Baker-</w:t>
      </w:r>
      <w:proofErr w:type="spellStart"/>
      <w:r>
        <w:rPr>
          <w:rFonts w:ascii="Times" w:hAnsi="Times" w:cs="Times"/>
          <w:color w:val="1A1718"/>
        </w:rPr>
        <w:t>Henningham</w:t>
      </w:r>
      <w:proofErr w:type="spellEnd"/>
      <w:r>
        <w:rPr>
          <w:rFonts w:ascii="Times" w:hAnsi="Times" w:cs="Times"/>
          <w:color w:val="1A1718"/>
        </w:rPr>
        <w:t xml:space="preserve"> &amp; Lopez Boo, 2010; Center </w:t>
      </w:r>
    </w:p>
    <w:p w14:paraId="2B8EA2AC" w14:textId="77777777" w:rsidR="00095F86" w:rsidRDefault="00095F86" w:rsidP="00095F86">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on the Developing Child at Harvard University, 2007; David &amp; </w:t>
      </w:r>
      <w:proofErr w:type="spellStart"/>
      <w:r>
        <w:rPr>
          <w:rFonts w:ascii="Times" w:hAnsi="Times" w:cs="Times"/>
          <w:color w:val="1A1718"/>
        </w:rPr>
        <w:t>Appell</w:t>
      </w:r>
      <w:proofErr w:type="spellEnd"/>
      <w:r>
        <w:rPr>
          <w:rFonts w:ascii="Times" w:hAnsi="Times" w:cs="Times"/>
          <w:color w:val="1A1718"/>
        </w:rPr>
        <w:t xml:space="preserve">, 2001). The need for children to have their parent or other stable and caring caregiver is not new knowledge. The most recent literature showing how important healthy attach- </w:t>
      </w:r>
      <w:proofErr w:type="spellStart"/>
      <w:r>
        <w:rPr>
          <w:rFonts w:ascii="Times" w:hAnsi="Times" w:cs="Times"/>
          <w:color w:val="1A1718"/>
        </w:rPr>
        <w:t>ments</w:t>
      </w:r>
      <w:proofErr w:type="spellEnd"/>
      <w:r>
        <w:rPr>
          <w:rFonts w:ascii="Times" w:hAnsi="Times" w:cs="Times"/>
          <w:color w:val="1A1718"/>
        </w:rPr>
        <w:t xml:space="preserve"> are is based in institutional care settings such as the orphanages in Romania that caused </w:t>
      </w:r>
      <w:proofErr w:type="spellStart"/>
      <w:r>
        <w:rPr>
          <w:rFonts w:ascii="Times" w:hAnsi="Times" w:cs="Times"/>
          <w:color w:val="1A1718"/>
        </w:rPr>
        <w:t>irrecuperable</w:t>
      </w:r>
      <w:proofErr w:type="spellEnd"/>
      <w:r>
        <w:rPr>
          <w:rFonts w:ascii="Times" w:hAnsi="Times" w:cs="Times"/>
          <w:color w:val="1A1718"/>
        </w:rPr>
        <w:t xml:space="preserve"> impact on children’s development (Sheridan, Fox, </w:t>
      </w:r>
      <w:proofErr w:type="spellStart"/>
      <w:r>
        <w:rPr>
          <w:rFonts w:ascii="Times" w:hAnsi="Times" w:cs="Times"/>
          <w:color w:val="1A1718"/>
        </w:rPr>
        <w:t>Zeanah</w:t>
      </w:r>
      <w:proofErr w:type="spellEnd"/>
      <w:r>
        <w:rPr>
          <w:rFonts w:ascii="Times" w:hAnsi="Times" w:cs="Times"/>
          <w:color w:val="1A1718"/>
        </w:rPr>
        <w:t xml:space="preserve">, McLaughlin, &amp; Nelson, 2012). </w:t>
      </w:r>
    </w:p>
    <w:p w14:paraId="1A03706F" w14:textId="77777777" w:rsidR="00095F86" w:rsidRDefault="00095F86" w:rsidP="00095F86">
      <w:pPr>
        <w:widowControl w:val="0"/>
        <w:autoSpaceDE w:val="0"/>
        <w:autoSpaceDN w:val="0"/>
        <w:adjustRightInd w:val="0"/>
        <w:spacing w:after="240" w:line="280" w:lineRule="atLeast"/>
        <w:rPr>
          <w:rFonts w:ascii="Times" w:hAnsi="Times" w:cs="Times"/>
          <w:color w:val="000000"/>
        </w:rPr>
      </w:pPr>
      <w:r>
        <w:rPr>
          <w:rFonts w:ascii="Times" w:hAnsi="Times" w:cs="Times"/>
          <w:color w:val="1A1718"/>
        </w:rPr>
        <w:t>The children separated from their parents at the border have left traumatic situations, are cared for by adults who have also lived through traumatic situations, and now are facing new trauma will be scared by the experience. The scarring could be dramatic enough to create the next generation of gang members. The tool that is the most consistently successful in alleviating the impact of trauma for children and promoting resilience is the support, love, and care from trusted stable</w:t>
      </w:r>
      <w:r>
        <w:rPr>
          <w:rFonts w:ascii="Times" w:hAnsi="Times" w:cs="Times"/>
          <w:color w:val="000000"/>
        </w:rPr>
        <w:t xml:space="preserve"> </w:t>
      </w:r>
      <w:r>
        <w:rPr>
          <w:rFonts w:ascii="Times" w:hAnsi="Times" w:cs="Times"/>
          <w:color w:val="1A1718"/>
        </w:rPr>
        <w:t xml:space="preserve">adults (ideally, their parents). For El Salvador’s children, how ACEs are addressed and whether children are given a chance to be protected from these experiences could be what allows the country to move forward or continues the regional unrest for future generations. </w:t>
      </w:r>
    </w:p>
    <w:p w14:paraId="10FD24E6" w14:textId="77777777" w:rsidR="00095F86" w:rsidRDefault="00095F86" w:rsidP="00095F86">
      <w:pPr>
        <w:widowControl w:val="0"/>
        <w:autoSpaceDE w:val="0"/>
        <w:autoSpaceDN w:val="0"/>
        <w:adjustRightInd w:val="0"/>
        <w:spacing w:after="240" w:line="280" w:lineRule="atLeast"/>
        <w:rPr>
          <w:rFonts w:ascii="Times" w:hAnsi="Times" w:cs="Times"/>
          <w:color w:val="000000"/>
        </w:rPr>
      </w:pPr>
      <w:r>
        <w:rPr>
          <w:rFonts w:ascii="Times" w:hAnsi="Times" w:cs="Times"/>
          <w:color w:val="1A1718"/>
        </w:rPr>
        <w:t xml:space="preserve">The international community cannot be complicit in the abuse of the children separated at borders—it has seen the photos of children, it has heard their voices on recordings; it cannot be quiet. </w:t>
      </w:r>
    </w:p>
    <w:p w14:paraId="5A7D4579" w14:textId="77777777" w:rsidR="00F61336" w:rsidRDefault="00F61336" w:rsidP="00F61336">
      <w:pPr>
        <w:widowControl w:val="0"/>
        <w:autoSpaceDE w:val="0"/>
        <w:autoSpaceDN w:val="0"/>
        <w:adjustRightInd w:val="0"/>
        <w:spacing w:after="240" w:line="280" w:lineRule="atLeast"/>
        <w:rPr>
          <w:rFonts w:ascii="Times" w:hAnsi="Times" w:cs="Times"/>
          <w:color w:val="000000"/>
        </w:rPr>
      </w:pPr>
    </w:p>
    <w:p w14:paraId="31CEFE58" w14:textId="0D5FAF8C"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b/>
          <w:bCs/>
          <w:color w:val="000000"/>
          <w:highlight w:val="yellow"/>
        </w:rPr>
        <w:t>Academic Journal #3:</w:t>
      </w:r>
      <w:r>
        <w:rPr>
          <w:rFonts w:ascii="Times" w:hAnsi="Times" w:cs="Times"/>
          <w:b/>
          <w:bCs/>
          <w:color w:val="000000"/>
        </w:rPr>
        <w:t xml:space="preserve"> </w:t>
      </w:r>
      <w:r w:rsidRPr="00B130EF">
        <w:rPr>
          <w:rFonts w:ascii="Times" w:hAnsi="Times" w:cs="Times"/>
          <w:b/>
          <w:bCs/>
          <w:color w:val="000000"/>
        </w:rPr>
        <w:t xml:space="preserve">Context of Latino Students’ Family Separation During and After Immigration: Perspectives, Challenges, and Opportunities for Collaborative Efforts </w:t>
      </w:r>
    </w:p>
    <w:p w14:paraId="6D005533"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b/>
          <w:bCs/>
          <w:i/>
          <w:iCs/>
          <w:color w:val="000000"/>
        </w:rPr>
        <w:t xml:space="preserve">Jeremiah J. González, Stacy M. Kula, </w:t>
      </w:r>
      <w:proofErr w:type="spellStart"/>
      <w:r w:rsidRPr="00B130EF">
        <w:rPr>
          <w:rFonts w:ascii="Times" w:hAnsi="Times" w:cs="Times"/>
          <w:b/>
          <w:bCs/>
          <w:i/>
          <w:iCs/>
          <w:color w:val="000000"/>
        </w:rPr>
        <w:t>Verónica</w:t>
      </w:r>
      <w:proofErr w:type="spellEnd"/>
      <w:r w:rsidRPr="00B130EF">
        <w:rPr>
          <w:rFonts w:ascii="Times" w:hAnsi="Times" w:cs="Times"/>
          <w:b/>
          <w:bCs/>
          <w:i/>
          <w:iCs/>
          <w:color w:val="000000"/>
        </w:rPr>
        <w:t xml:space="preserve"> V. González, and Susan J. Paik </w:t>
      </w:r>
    </w:p>
    <w:p w14:paraId="40D1808F"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b/>
          <w:bCs/>
          <w:color w:val="000000"/>
        </w:rPr>
        <w:t xml:space="preserve">Abstract </w:t>
      </w:r>
    </w:p>
    <w:p w14:paraId="403DD1AE"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 xml:space="preserve">This article discusses the challenges and consequences of family separation and reunification during immigration from Latin America to the U.S. The historical pattern of paternal immigration as well as the recent rise in mater- </w:t>
      </w:r>
      <w:proofErr w:type="spellStart"/>
      <w:r w:rsidRPr="00B130EF">
        <w:rPr>
          <w:rFonts w:ascii="Times" w:hAnsi="Times" w:cs="Times"/>
          <w:color w:val="000000"/>
        </w:rPr>
        <w:t>nal</w:t>
      </w:r>
      <w:proofErr w:type="spellEnd"/>
      <w:r w:rsidRPr="00B130EF">
        <w:rPr>
          <w:rFonts w:ascii="Times" w:hAnsi="Times" w:cs="Times"/>
          <w:color w:val="000000"/>
        </w:rPr>
        <w:t xml:space="preserve"> immigration are discussed. The article addresses the impact of length of separation and how separation impacts family dynamics and school success. Recommendations are given for how schools can address the challenges that students face related to family separation and reunification during immigration including creating and fostering school-based mental health services, teacher training, school–caregiver and school–family partnerships, teacher–student re- </w:t>
      </w:r>
      <w:proofErr w:type="spellStart"/>
      <w:r w:rsidRPr="00B130EF">
        <w:rPr>
          <w:rFonts w:ascii="Times" w:hAnsi="Times" w:cs="Times"/>
          <w:color w:val="000000"/>
        </w:rPr>
        <w:t>lationships</w:t>
      </w:r>
      <w:proofErr w:type="spellEnd"/>
      <w:r w:rsidRPr="00B130EF">
        <w:rPr>
          <w:rFonts w:ascii="Times" w:hAnsi="Times" w:cs="Times"/>
          <w:color w:val="000000"/>
        </w:rPr>
        <w:t xml:space="preserve"> and peer relationships, and other supports. </w:t>
      </w:r>
    </w:p>
    <w:p w14:paraId="1EA1D0FC"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 xml:space="preserve">Key Words: family separation, reunification, immigration, Latino students, academic success, collaboration, relationships, school-based services </w:t>
      </w:r>
    </w:p>
    <w:p w14:paraId="40DB260B"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b/>
          <w:bCs/>
          <w:color w:val="000000"/>
        </w:rPr>
        <w:t xml:space="preserve">Introduction and Significance of the Topic </w:t>
      </w:r>
    </w:p>
    <w:p w14:paraId="324F4D50"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 xml:space="preserve">Representing 25% of K–12 schoolchildren, approximately one out of every four students in the U.S. is a child from an immigrant home; over one-half of </w:t>
      </w:r>
    </w:p>
    <w:p w14:paraId="2755BD52"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i/>
          <w:iCs/>
          <w:color w:val="000000"/>
        </w:rPr>
        <w:t>School Community Journal</w:t>
      </w:r>
      <w:r w:rsidRPr="00B130EF">
        <w:rPr>
          <w:rFonts w:ascii="Times" w:hAnsi="Times" w:cs="Times"/>
          <w:color w:val="000000"/>
        </w:rPr>
        <w:t xml:space="preserve">, 2017, Vol. 27, No. 2 </w:t>
      </w:r>
      <w:r w:rsidRPr="00B130EF">
        <w:rPr>
          <w:rFonts w:ascii="Times" w:hAnsi="Times" w:cs="Times"/>
          <w:b/>
          <w:bCs/>
          <w:color w:val="000000"/>
        </w:rPr>
        <w:t xml:space="preserve">211 </w:t>
      </w:r>
      <w:r w:rsidRPr="00B130EF">
        <w:rPr>
          <w:rFonts w:ascii="Times" w:hAnsi="Times" w:cs="Times"/>
          <w:color w:val="000000"/>
        </w:rPr>
        <w:t xml:space="preserve">Available at http://www.schoolcommunitynetwork.org/SCJ.aspx </w:t>
      </w:r>
    </w:p>
    <w:p w14:paraId="1F4CC2AA" w14:textId="5768E5CF"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drawing>
          <wp:inline distT="0" distB="0" distL="0" distR="0" wp14:anchorId="2658A56D" wp14:editId="120EA8A8">
            <wp:extent cx="1807210" cy="1079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07210" cy="10795"/>
                    </a:xfrm>
                    <a:prstGeom prst="rect">
                      <a:avLst/>
                    </a:prstGeom>
                    <a:noFill/>
                    <a:ln>
                      <a:noFill/>
                    </a:ln>
                  </pic:spPr>
                </pic:pic>
              </a:graphicData>
            </a:graphic>
          </wp:inline>
        </w:drawing>
      </w:r>
      <w:r w:rsidRPr="00B130EF">
        <w:rPr>
          <w:rFonts w:ascii="Times" w:hAnsi="Times" w:cs="Times"/>
          <w:color w:val="000000"/>
        </w:rPr>
        <w:t xml:space="preserve"> </w:t>
      </w:r>
    </w:p>
    <w:p w14:paraId="5ED4BF5C"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b/>
          <w:bCs/>
          <w:color w:val="000000"/>
        </w:rPr>
        <w:t xml:space="preserve">SCHOOL COMMUNITY JOURNAL </w:t>
      </w:r>
    </w:p>
    <w:p w14:paraId="22BE10D4"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these children are from Latino families (</w:t>
      </w:r>
      <w:proofErr w:type="spellStart"/>
      <w:r w:rsidRPr="00B130EF">
        <w:rPr>
          <w:rFonts w:ascii="Times" w:hAnsi="Times" w:cs="Times"/>
          <w:color w:val="000000"/>
        </w:rPr>
        <w:t>Grieco</w:t>
      </w:r>
      <w:proofErr w:type="spellEnd"/>
      <w:r w:rsidRPr="00B130EF">
        <w:rPr>
          <w:rFonts w:ascii="Times" w:hAnsi="Times" w:cs="Times"/>
          <w:color w:val="000000"/>
        </w:rPr>
        <w:t xml:space="preserve"> et al., 2012; Migration </w:t>
      </w:r>
      <w:proofErr w:type="spellStart"/>
      <w:r w:rsidRPr="00B130EF">
        <w:rPr>
          <w:rFonts w:ascii="Times" w:hAnsi="Times" w:cs="Times"/>
          <w:color w:val="000000"/>
        </w:rPr>
        <w:t>Poli</w:t>
      </w:r>
      <w:proofErr w:type="spellEnd"/>
      <w:r w:rsidRPr="00B130EF">
        <w:rPr>
          <w:rFonts w:ascii="Times" w:hAnsi="Times" w:cs="Times"/>
          <w:color w:val="000000"/>
        </w:rPr>
        <w:t xml:space="preserve">- cy Institute, 2013). Many of these Latino students from immigrant families may experience some form of family separation, reunification, and/or may be exposed to further obstacles due to undocumented status. In an era of </w:t>
      </w:r>
      <w:proofErr w:type="spellStart"/>
      <w:r w:rsidRPr="00B130EF">
        <w:rPr>
          <w:rFonts w:ascii="Times" w:hAnsi="Times" w:cs="Times"/>
          <w:color w:val="000000"/>
        </w:rPr>
        <w:t>increas</w:t>
      </w:r>
      <w:proofErr w:type="spellEnd"/>
      <w:r w:rsidRPr="00B130EF">
        <w:rPr>
          <w:rFonts w:ascii="Times" w:hAnsi="Times" w:cs="Times"/>
          <w:color w:val="000000"/>
        </w:rPr>
        <w:t xml:space="preserve">- </w:t>
      </w:r>
      <w:proofErr w:type="spellStart"/>
      <w:r w:rsidRPr="00B130EF">
        <w:rPr>
          <w:rFonts w:ascii="Times" w:hAnsi="Times" w:cs="Times"/>
          <w:color w:val="000000"/>
        </w:rPr>
        <w:t>ing</w:t>
      </w:r>
      <w:proofErr w:type="spellEnd"/>
      <w:r w:rsidRPr="00B130EF">
        <w:rPr>
          <w:rFonts w:ascii="Times" w:hAnsi="Times" w:cs="Times"/>
          <w:color w:val="000000"/>
        </w:rPr>
        <w:t xml:space="preserve"> anti-immigration fervor, little attention is paid in the media to the true consequences of immigration for the children who arrive in this country. The emotional toll caused by this process often has a negative interpersonal and </w:t>
      </w:r>
      <w:proofErr w:type="spellStart"/>
      <w:r w:rsidRPr="00B130EF">
        <w:rPr>
          <w:rFonts w:ascii="Times" w:hAnsi="Times" w:cs="Times"/>
          <w:color w:val="000000"/>
        </w:rPr>
        <w:t>psy</w:t>
      </w:r>
      <w:proofErr w:type="spellEnd"/>
      <w:r w:rsidRPr="00B130EF">
        <w:rPr>
          <w:rFonts w:ascii="Times" w:hAnsi="Times" w:cs="Times"/>
          <w:color w:val="000000"/>
        </w:rPr>
        <w:t xml:space="preserve">- </w:t>
      </w:r>
      <w:proofErr w:type="spellStart"/>
      <w:r w:rsidRPr="00B130EF">
        <w:rPr>
          <w:rFonts w:ascii="Times" w:hAnsi="Times" w:cs="Times"/>
          <w:color w:val="000000"/>
        </w:rPr>
        <w:t>chological</w:t>
      </w:r>
      <w:proofErr w:type="spellEnd"/>
      <w:r w:rsidRPr="00B130EF">
        <w:rPr>
          <w:rFonts w:ascii="Times" w:hAnsi="Times" w:cs="Times"/>
          <w:color w:val="000000"/>
        </w:rPr>
        <w:t xml:space="preserve"> impact on students, which in turn affects their academic progress. Indeed, immigration experiences for Latino children are not only challenging, but are often complicated further by other risk factors, such as language </w:t>
      </w:r>
      <w:proofErr w:type="spellStart"/>
      <w:r w:rsidRPr="00B130EF">
        <w:rPr>
          <w:rFonts w:ascii="Times" w:hAnsi="Times" w:cs="Times"/>
          <w:color w:val="000000"/>
        </w:rPr>
        <w:t>barri</w:t>
      </w:r>
      <w:proofErr w:type="spellEnd"/>
      <w:r w:rsidRPr="00B130EF">
        <w:rPr>
          <w:rFonts w:ascii="Times" w:hAnsi="Times" w:cs="Times"/>
          <w:color w:val="000000"/>
        </w:rPr>
        <w:t xml:space="preserve">- </w:t>
      </w:r>
      <w:proofErr w:type="spellStart"/>
      <w:r w:rsidRPr="00B130EF">
        <w:rPr>
          <w:rFonts w:ascii="Times" w:hAnsi="Times" w:cs="Times"/>
          <w:color w:val="000000"/>
        </w:rPr>
        <w:t>ers</w:t>
      </w:r>
      <w:proofErr w:type="spellEnd"/>
      <w:r w:rsidRPr="00B130EF">
        <w:rPr>
          <w:rFonts w:ascii="Times" w:hAnsi="Times" w:cs="Times"/>
          <w:color w:val="000000"/>
        </w:rPr>
        <w:t xml:space="preserve">, poverty, and poorly resourced neighborhoods and schools (Logan, </w:t>
      </w:r>
      <w:proofErr w:type="spellStart"/>
      <w:r w:rsidRPr="00B130EF">
        <w:rPr>
          <w:rFonts w:ascii="Times" w:hAnsi="Times" w:cs="Times"/>
          <w:color w:val="000000"/>
        </w:rPr>
        <w:t>Minca</w:t>
      </w:r>
      <w:proofErr w:type="spellEnd"/>
      <w:r w:rsidRPr="00B130EF">
        <w:rPr>
          <w:rFonts w:ascii="Times" w:hAnsi="Times" w:cs="Times"/>
          <w:color w:val="000000"/>
        </w:rPr>
        <w:t>, &amp; Adar, 2012). Because of these issues, many Latino students continue to struggle academically, as evidenced by their low average graduation rates and test scores (</w:t>
      </w:r>
      <w:proofErr w:type="spellStart"/>
      <w:r w:rsidRPr="00B130EF">
        <w:rPr>
          <w:rFonts w:ascii="Times" w:hAnsi="Times" w:cs="Times"/>
          <w:color w:val="000000"/>
        </w:rPr>
        <w:t>Gándara</w:t>
      </w:r>
      <w:proofErr w:type="spellEnd"/>
      <w:r w:rsidRPr="00B130EF">
        <w:rPr>
          <w:rFonts w:ascii="Times" w:hAnsi="Times" w:cs="Times"/>
          <w:color w:val="000000"/>
        </w:rPr>
        <w:t xml:space="preserve"> &amp; Contreras, 2009; </w:t>
      </w:r>
      <w:proofErr w:type="spellStart"/>
      <w:r w:rsidRPr="00B130EF">
        <w:rPr>
          <w:rFonts w:ascii="Times" w:hAnsi="Times" w:cs="Times"/>
          <w:color w:val="000000"/>
        </w:rPr>
        <w:t>Zambrana</w:t>
      </w:r>
      <w:proofErr w:type="spellEnd"/>
      <w:r w:rsidRPr="00B130EF">
        <w:rPr>
          <w:rFonts w:ascii="Times" w:hAnsi="Times" w:cs="Times"/>
          <w:color w:val="000000"/>
        </w:rPr>
        <w:t xml:space="preserve"> &amp; Hurtado, 2015). </w:t>
      </w:r>
    </w:p>
    <w:p w14:paraId="709857C6"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 xml:space="preserve">Both researchers and the media often focus on the problems of struggling Latino populations. While these problems are indeed prevalent and provide perspective, few solutions are generally offered; this is the case for most </w:t>
      </w:r>
      <w:proofErr w:type="spellStart"/>
      <w:r w:rsidRPr="00B130EF">
        <w:rPr>
          <w:rFonts w:ascii="Times" w:hAnsi="Times" w:cs="Times"/>
          <w:color w:val="000000"/>
        </w:rPr>
        <w:t>disci</w:t>
      </w:r>
      <w:proofErr w:type="spellEnd"/>
      <w:r w:rsidRPr="00B130EF">
        <w:rPr>
          <w:rFonts w:ascii="Times" w:hAnsi="Times" w:cs="Times"/>
          <w:color w:val="000000"/>
        </w:rPr>
        <w:t xml:space="preserve">- </w:t>
      </w:r>
      <w:proofErr w:type="spellStart"/>
      <w:r w:rsidRPr="00B130EF">
        <w:rPr>
          <w:rFonts w:ascii="Times" w:hAnsi="Times" w:cs="Times"/>
          <w:color w:val="000000"/>
        </w:rPr>
        <w:t>plines</w:t>
      </w:r>
      <w:proofErr w:type="spellEnd"/>
      <w:r w:rsidRPr="00B130EF">
        <w:rPr>
          <w:rFonts w:ascii="Times" w:hAnsi="Times" w:cs="Times"/>
          <w:color w:val="000000"/>
        </w:rPr>
        <w:t>. In the field of education, the bulk of the literature on Latino students focuses on their academic struggles (</w:t>
      </w:r>
      <w:proofErr w:type="spellStart"/>
      <w:r w:rsidRPr="00B130EF">
        <w:rPr>
          <w:rFonts w:ascii="Times" w:hAnsi="Times" w:cs="Times"/>
          <w:color w:val="000000"/>
        </w:rPr>
        <w:t>Gándara</w:t>
      </w:r>
      <w:proofErr w:type="spellEnd"/>
      <w:r w:rsidRPr="00B130EF">
        <w:rPr>
          <w:rFonts w:ascii="Times" w:hAnsi="Times" w:cs="Times"/>
          <w:color w:val="000000"/>
        </w:rPr>
        <w:t xml:space="preserve"> &amp; Contreras, 2009). The research suggests that most schools are not effectively meeting the needs of immigrant students and their families; however, some programs and practices appear to be more promising for those experiencing the stresses of immigration (</w:t>
      </w:r>
      <w:proofErr w:type="spellStart"/>
      <w:r w:rsidRPr="00B130EF">
        <w:rPr>
          <w:rFonts w:ascii="Times" w:hAnsi="Times" w:cs="Times"/>
          <w:color w:val="000000"/>
        </w:rPr>
        <w:t>Baqueda</w:t>
      </w:r>
      <w:proofErr w:type="spellEnd"/>
      <w:r w:rsidRPr="00B130EF">
        <w:rPr>
          <w:rFonts w:ascii="Times" w:hAnsi="Times" w:cs="Times"/>
          <w:color w:val="000000"/>
        </w:rPr>
        <w:t>- no-</w:t>
      </w:r>
      <w:proofErr w:type="spellStart"/>
      <w:r w:rsidRPr="00B130EF">
        <w:rPr>
          <w:rFonts w:ascii="Times" w:hAnsi="Times" w:cs="Times"/>
          <w:color w:val="000000"/>
        </w:rPr>
        <w:t>López</w:t>
      </w:r>
      <w:proofErr w:type="spellEnd"/>
      <w:r w:rsidRPr="00B130EF">
        <w:rPr>
          <w:rFonts w:ascii="Times" w:hAnsi="Times" w:cs="Times"/>
          <w:color w:val="000000"/>
        </w:rPr>
        <w:t xml:space="preserve">, Alexander, &amp; Hernandez, 2013; Dearing, Sibley, &amp; Nguyen, 2015). With the ongoing discussion on the challenges facing the Latino population, it seems appropriate and necessary to understand the context of the problems; at the same time, more attention is needed on problem-solving and further- </w:t>
      </w:r>
      <w:proofErr w:type="spellStart"/>
      <w:r w:rsidRPr="00B130EF">
        <w:rPr>
          <w:rFonts w:ascii="Times" w:hAnsi="Times" w:cs="Times"/>
          <w:color w:val="000000"/>
        </w:rPr>
        <w:t>ing</w:t>
      </w:r>
      <w:proofErr w:type="spellEnd"/>
      <w:r w:rsidRPr="00B130EF">
        <w:rPr>
          <w:rFonts w:ascii="Times" w:hAnsi="Times" w:cs="Times"/>
          <w:color w:val="000000"/>
        </w:rPr>
        <w:t xml:space="preserve"> educational opportunities. Therefore, the purpose of this article is to (1) describe some of the problems and unintended consequences of Latino fam- </w:t>
      </w:r>
      <w:proofErr w:type="spellStart"/>
      <w:r w:rsidRPr="00B130EF">
        <w:rPr>
          <w:rFonts w:ascii="Times" w:hAnsi="Times" w:cs="Times"/>
          <w:color w:val="000000"/>
        </w:rPr>
        <w:t>ily</w:t>
      </w:r>
      <w:proofErr w:type="spellEnd"/>
      <w:r w:rsidRPr="00B130EF">
        <w:rPr>
          <w:rFonts w:ascii="Times" w:hAnsi="Times" w:cs="Times"/>
          <w:color w:val="000000"/>
        </w:rPr>
        <w:t xml:space="preserve"> separation during and after immigration, and (2) offer some strategies that promote school success for Latino immigrant students and for stakeholders working with these populations. </w:t>
      </w:r>
    </w:p>
    <w:p w14:paraId="1F6C4111"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b/>
          <w:bCs/>
          <w:color w:val="000000"/>
        </w:rPr>
        <w:t xml:space="preserve">Background on Immigration: A Growing Population </w:t>
      </w:r>
    </w:p>
    <w:p w14:paraId="1708DFA7"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 xml:space="preserve">Throughout history, immigrants have left their native lands in search of better opportunities in more economically established nations. Recent data in- </w:t>
      </w:r>
      <w:proofErr w:type="spellStart"/>
      <w:r w:rsidRPr="00B130EF">
        <w:rPr>
          <w:rFonts w:ascii="Times" w:hAnsi="Times" w:cs="Times"/>
          <w:color w:val="000000"/>
        </w:rPr>
        <w:t>dicates</w:t>
      </w:r>
      <w:proofErr w:type="spellEnd"/>
      <w:r w:rsidRPr="00B130EF">
        <w:rPr>
          <w:rFonts w:ascii="Times" w:hAnsi="Times" w:cs="Times"/>
          <w:color w:val="000000"/>
        </w:rPr>
        <w:t xml:space="preserve"> that more than 13% of the U.S. population is foreign-born (</w:t>
      </w:r>
      <w:proofErr w:type="spellStart"/>
      <w:r w:rsidRPr="00B130EF">
        <w:rPr>
          <w:rFonts w:ascii="Times" w:hAnsi="Times" w:cs="Times"/>
          <w:color w:val="000000"/>
        </w:rPr>
        <w:t>Grieco</w:t>
      </w:r>
      <w:proofErr w:type="spellEnd"/>
      <w:r w:rsidRPr="00B130EF">
        <w:rPr>
          <w:rFonts w:ascii="Times" w:hAnsi="Times" w:cs="Times"/>
          <w:color w:val="000000"/>
        </w:rPr>
        <w:t xml:space="preserve"> et al., 2012; Schapiro, </w:t>
      </w:r>
      <w:proofErr w:type="spellStart"/>
      <w:r w:rsidRPr="00B130EF">
        <w:rPr>
          <w:rFonts w:ascii="Times" w:hAnsi="Times" w:cs="Times"/>
          <w:color w:val="000000"/>
        </w:rPr>
        <w:t>Kools</w:t>
      </w:r>
      <w:proofErr w:type="spellEnd"/>
      <w:r w:rsidRPr="00B130EF">
        <w:rPr>
          <w:rFonts w:ascii="Times" w:hAnsi="Times" w:cs="Times"/>
          <w:color w:val="000000"/>
        </w:rPr>
        <w:t xml:space="preserve">, Weiss, &amp; </w:t>
      </w:r>
      <w:proofErr w:type="spellStart"/>
      <w:r w:rsidRPr="00B130EF">
        <w:rPr>
          <w:rFonts w:ascii="Times" w:hAnsi="Times" w:cs="Times"/>
          <w:color w:val="000000"/>
        </w:rPr>
        <w:t>Brindis</w:t>
      </w:r>
      <w:proofErr w:type="spellEnd"/>
      <w:r w:rsidRPr="00B130EF">
        <w:rPr>
          <w:rFonts w:ascii="Times" w:hAnsi="Times" w:cs="Times"/>
          <w:color w:val="000000"/>
        </w:rPr>
        <w:t xml:space="preserve">, 2013). Since most immigrants come to the United States in an effort to improve their economic situations, many immigrants have been those of limited economic means, particularly </w:t>
      </w:r>
    </w:p>
    <w:p w14:paraId="4A78BF2B"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b/>
          <w:bCs/>
          <w:color w:val="000000"/>
        </w:rPr>
        <w:t xml:space="preserve">212 </w:t>
      </w:r>
    </w:p>
    <w:p w14:paraId="154AA2A0"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from countries in Asia and Latin America (</w:t>
      </w:r>
      <w:proofErr w:type="spellStart"/>
      <w:r w:rsidRPr="00B130EF">
        <w:rPr>
          <w:rFonts w:ascii="Times" w:hAnsi="Times" w:cs="Times"/>
          <w:color w:val="000000"/>
        </w:rPr>
        <w:t>Grieco</w:t>
      </w:r>
      <w:proofErr w:type="spellEnd"/>
      <w:r w:rsidRPr="00B130EF">
        <w:rPr>
          <w:rFonts w:ascii="Times" w:hAnsi="Times" w:cs="Times"/>
          <w:color w:val="000000"/>
        </w:rPr>
        <w:t xml:space="preserve"> et al., 2012; Schapiro et al., 2013). Due to their proximity to the U.S. and the limited economic </w:t>
      </w:r>
      <w:proofErr w:type="spellStart"/>
      <w:r w:rsidRPr="00B130EF">
        <w:rPr>
          <w:rFonts w:ascii="Times" w:hAnsi="Times" w:cs="Times"/>
          <w:color w:val="000000"/>
        </w:rPr>
        <w:t>opportuni</w:t>
      </w:r>
      <w:proofErr w:type="spellEnd"/>
      <w:r w:rsidRPr="00B130EF">
        <w:rPr>
          <w:rFonts w:ascii="Times" w:hAnsi="Times" w:cs="Times"/>
          <w:color w:val="000000"/>
        </w:rPr>
        <w:t>- ties available to most of their residents, countries in Latin America have supplied the bulk of recent immigrants (</w:t>
      </w:r>
      <w:proofErr w:type="spellStart"/>
      <w:r w:rsidRPr="00B130EF">
        <w:rPr>
          <w:rFonts w:ascii="Times" w:hAnsi="Times" w:cs="Times"/>
          <w:color w:val="000000"/>
        </w:rPr>
        <w:t>Grieco</w:t>
      </w:r>
      <w:proofErr w:type="spellEnd"/>
      <w:r w:rsidRPr="00B130EF">
        <w:rPr>
          <w:rFonts w:ascii="Times" w:hAnsi="Times" w:cs="Times"/>
          <w:color w:val="000000"/>
        </w:rPr>
        <w:t xml:space="preserve"> et al., 2012; </w:t>
      </w:r>
      <w:proofErr w:type="spellStart"/>
      <w:r w:rsidRPr="00B130EF">
        <w:rPr>
          <w:rFonts w:ascii="Times" w:hAnsi="Times" w:cs="Times"/>
          <w:color w:val="000000"/>
        </w:rPr>
        <w:t>Portes</w:t>
      </w:r>
      <w:proofErr w:type="spellEnd"/>
      <w:r w:rsidRPr="00B130EF">
        <w:rPr>
          <w:rFonts w:ascii="Times" w:hAnsi="Times" w:cs="Times"/>
          <w:color w:val="000000"/>
        </w:rPr>
        <w:t xml:space="preserve"> &amp; </w:t>
      </w:r>
      <w:proofErr w:type="spellStart"/>
      <w:r w:rsidRPr="00B130EF">
        <w:rPr>
          <w:rFonts w:ascii="Times" w:hAnsi="Times" w:cs="Times"/>
          <w:color w:val="000000"/>
        </w:rPr>
        <w:t>Rumbaut</w:t>
      </w:r>
      <w:proofErr w:type="spellEnd"/>
      <w:r w:rsidRPr="00B130EF">
        <w:rPr>
          <w:rFonts w:ascii="Times" w:hAnsi="Times" w:cs="Times"/>
          <w:color w:val="000000"/>
        </w:rPr>
        <w:t>, 2006; Schapiro et al., 2013). The majority of Latin American immigrants to the U.S. have come from Mexico, Central America, and the Caribbean (</w:t>
      </w:r>
      <w:proofErr w:type="spellStart"/>
      <w:r w:rsidRPr="00B130EF">
        <w:rPr>
          <w:rFonts w:ascii="Times" w:hAnsi="Times" w:cs="Times"/>
          <w:color w:val="000000"/>
        </w:rPr>
        <w:t>Grieco</w:t>
      </w:r>
      <w:proofErr w:type="spellEnd"/>
      <w:r w:rsidRPr="00B130EF">
        <w:rPr>
          <w:rFonts w:ascii="Times" w:hAnsi="Times" w:cs="Times"/>
          <w:color w:val="000000"/>
        </w:rPr>
        <w:t xml:space="preserve"> et al., 2012; </w:t>
      </w:r>
      <w:proofErr w:type="spellStart"/>
      <w:r w:rsidRPr="00B130EF">
        <w:rPr>
          <w:rFonts w:ascii="Times" w:hAnsi="Times" w:cs="Times"/>
          <w:color w:val="000000"/>
        </w:rPr>
        <w:t>Portes</w:t>
      </w:r>
      <w:proofErr w:type="spellEnd"/>
      <w:r w:rsidRPr="00B130EF">
        <w:rPr>
          <w:rFonts w:ascii="Times" w:hAnsi="Times" w:cs="Times"/>
          <w:color w:val="000000"/>
        </w:rPr>
        <w:t xml:space="preserve"> &amp; </w:t>
      </w:r>
      <w:proofErr w:type="spellStart"/>
      <w:r w:rsidRPr="00B130EF">
        <w:rPr>
          <w:rFonts w:ascii="Times" w:hAnsi="Times" w:cs="Times"/>
          <w:color w:val="000000"/>
        </w:rPr>
        <w:t>Rumbaut</w:t>
      </w:r>
      <w:proofErr w:type="spellEnd"/>
      <w:r w:rsidRPr="00B130EF">
        <w:rPr>
          <w:rFonts w:ascii="Times" w:hAnsi="Times" w:cs="Times"/>
          <w:color w:val="000000"/>
        </w:rPr>
        <w:t xml:space="preserve">, 2006). Because of the large numbers of immigrants from Latin America and elsewhere, children of immigrants have become one of the fastest growing subgroups among school-age children (Suarez-Orozco, Suarez-Orozco, &amp; Todorova, 2008). Yet despite the perceived and actual eco- </w:t>
      </w:r>
      <w:proofErr w:type="spellStart"/>
      <w:r w:rsidRPr="00B130EF">
        <w:rPr>
          <w:rFonts w:ascii="Times" w:hAnsi="Times" w:cs="Times"/>
          <w:color w:val="000000"/>
        </w:rPr>
        <w:t>nomic</w:t>
      </w:r>
      <w:proofErr w:type="spellEnd"/>
      <w:r w:rsidRPr="00B130EF">
        <w:rPr>
          <w:rFonts w:ascii="Times" w:hAnsi="Times" w:cs="Times"/>
          <w:color w:val="000000"/>
        </w:rPr>
        <w:t xml:space="preserve"> and lifestyle benefits that are associated with immigrating to the U.S., there are also many unintended problems and negative consequences that </w:t>
      </w:r>
      <w:proofErr w:type="spellStart"/>
      <w:r w:rsidRPr="00B130EF">
        <w:rPr>
          <w:rFonts w:ascii="Times" w:hAnsi="Times" w:cs="Times"/>
          <w:color w:val="000000"/>
        </w:rPr>
        <w:t>fre</w:t>
      </w:r>
      <w:proofErr w:type="spellEnd"/>
      <w:r w:rsidRPr="00B130EF">
        <w:rPr>
          <w:rFonts w:ascii="Times" w:hAnsi="Times" w:cs="Times"/>
          <w:color w:val="000000"/>
        </w:rPr>
        <w:t xml:space="preserve">- </w:t>
      </w:r>
      <w:proofErr w:type="spellStart"/>
      <w:r w:rsidRPr="00B130EF">
        <w:rPr>
          <w:rFonts w:ascii="Times" w:hAnsi="Times" w:cs="Times"/>
          <w:color w:val="000000"/>
        </w:rPr>
        <w:t>quently</w:t>
      </w:r>
      <w:proofErr w:type="spellEnd"/>
      <w:r w:rsidRPr="00B130EF">
        <w:rPr>
          <w:rFonts w:ascii="Times" w:hAnsi="Times" w:cs="Times"/>
          <w:color w:val="000000"/>
        </w:rPr>
        <w:t xml:space="preserve"> occur during and after the immigration process affecting immigrant families (</w:t>
      </w:r>
      <w:proofErr w:type="spellStart"/>
      <w:r w:rsidRPr="00B130EF">
        <w:rPr>
          <w:rFonts w:ascii="Times" w:hAnsi="Times" w:cs="Times"/>
          <w:color w:val="000000"/>
        </w:rPr>
        <w:t>Dreby</w:t>
      </w:r>
      <w:proofErr w:type="spellEnd"/>
      <w:r w:rsidRPr="00B130EF">
        <w:rPr>
          <w:rFonts w:ascii="Times" w:hAnsi="Times" w:cs="Times"/>
          <w:color w:val="000000"/>
        </w:rPr>
        <w:t xml:space="preserve">, 2007, 2015; </w:t>
      </w:r>
      <w:proofErr w:type="spellStart"/>
      <w:r w:rsidRPr="00B130EF">
        <w:rPr>
          <w:rFonts w:ascii="Times" w:hAnsi="Times" w:cs="Times"/>
          <w:color w:val="000000"/>
        </w:rPr>
        <w:t>Rusch</w:t>
      </w:r>
      <w:proofErr w:type="spellEnd"/>
      <w:r w:rsidRPr="00B130EF">
        <w:rPr>
          <w:rFonts w:ascii="Times" w:hAnsi="Times" w:cs="Times"/>
          <w:color w:val="000000"/>
        </w:rPr>
        <w:t xml:space="preserve"> &amp; Reyes, 2012). </w:t>
      </w:r>
    </w:p>
    <w:p w14:paraId="6B4D8AF8"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 xml:space="preserve">Immigration Policy: The Impact of Laws on Immigrant Families </w:t>
      </w:r>
    </w:p>
    <w:p w14:paraId="18D94ACD"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 xml:space="preserve">The changing immigration laws and policies have a direct impact on the realities faced by immigrant families. The recent focus on decreasing drug trafficking and undocumented border crossings has resulted in an increased militarization of the U.S. border which has, in turn, changed the patterns of </w:t>
      </w:r>
      <w:proofErr w:type="spellStart"/>
      <w:r w:rsidRPr="00B130EF">
        <w:rPr>
          <w:rFonts w:ascii="Times" w:hAnsi="Times" w:cs="Times"/>
          <w:color w:val="000000"/>
        </w:rPr>
        <w:t>im</w:t>
      </w:r>
      <w:proofErr w:type="spellEnd"/>
      <w:r w:rsidRPr="00B130EF">
        <w:rPr>
          <w:rFonts w:ascii="Times" w:hAnsi="Times" w:cs="Times"/>
          <w:color w:val="000000"/>
        </w:rPr>
        <w:t>- migration (</w:t>
      </w:r>
      <w:proofErr w:type="spellStart"/>
      <w:r w:rsidRPr="00B130EF">
        <w:rPr>
          <w:rFonts w:ascii="Times" w:hAnsi="Times" w:cs="Times"/>
          <w:color w:val="000000"/>
        </w:rPr>
        <w:t>Dreby</w:t>
      </w:r>
      <w:proofErr w:type="spellEnd"/>
      <w:r w:rsidRPr="00B130EF">
        <w:rPr>
          <w:rFonts w:ascii="Times" w:hAnsi="Times" w:cs="Times"/>
          <w:color w:val="000000"/>
        </w:rPr>
        <w:t xml:space="preserve">, 2015; Massey, Durand, &amp; </w:t>
      </w:r>
      <w:proofErr w:type="spellStart"/>
      <w:r w:rsidRPr="00B130EF">
        <w:rPr>
          <w:rFonts w:ascii="Times" w:hAnsi="Times" w:cs="Times"/>
          <w:color w:val="000000"/>
        </w:rPr>
        <w:t>Pren</w:t>
      </w:r>
      <w:proofErr w:type="spellEnd"/>
      <w:r w:rsidRPr="00B130EF">
        <w:rPr>
          <w:rFonts w:ascii="Times" w:hAnsi="Times" w:cs="Times"/>
          <w:color w:val="000000"/>
        </w:rPr>
        <w:t xml:space="preserve">, 2016). Whereas in the past many individuals would come to the U.S. to work and save money to return to their countries of origin, increased risks and difficulties associated with border crossing have prevented many immigrants from returning to their home </w:t>
      </w:r>
      <w:proofErr w:type="spellStart"/>
      <w:r w:rsidRPr="00B130EF">
        <w:rPr>
          <w:rFonts w:ascii="Times" w:hAnsi="Times" w:cs="Times"/>
          <w:color w:val="000000"/>
        </w:rPr>
        <w:t>coun</w:t>
      </w:r>
      <w:proofErr w:type="spellEnd"/>
      <w:r w:rsidRPr="00B130EF">
        <w:rPr>
          <w:rFonts w:ascii="Times" w:hAnsi="Times" w:cs="Times"/>
          <w:color w:val="000000"/>
        </w:rPr>
        <w:t>- tries (</w:t>
      </w:r>
      <w:proofErr w:type="spellStart"/>
      <w:r w:rsidRPr="00B130EF">
        <w:rPr>
          <w:rFonts w:ascii="Times" w:hAnsi="Times" w:cs="Times"/>
          <w:color w:val="000000"/>
        </w:rPr>
        <w:t>Dreby</w:t>
      </w:r>
      <w:proofErr w:type="spellEnd"/>
      <w:r w:rsidRPr="00B130EF">
        <w:rPr>
          <w:rFonts w:ascii="Times" w:hAnsi="Times" w:cs="Times"/>
          <w:color w:val="000000"/>
        </w:rPr>
        <w:t xml:space="preserve">, 2010, 2015; Massey et al., 2016; Slack et al., 2015). The increased costs and risks of border crossing have directly impacted families by deterring immigrants from returning to their homelands and thus further separating families. In addition to policies for border protection, immigration law has also changed to make pathways to legalization for undocumented immigrants more difficult. The Illegal Immigration Reform and Immigrant Responsibility Act passed in 1996 prevents immigrants who have entered the U.S. </w:t>
      </w:r>
      <w:proofErr w:type="spellStart"/>
      <w:r w:rsidRPr="00B130EF">
        <w:rPr>
          <w:rFonts w:ascii="Times" w:hAnsi="Times" w:cs="Times"/>
          <w:color w:val="000000"/>
        </w:rPr>
        <w:t>unlaw</w:t>
      </w:r>
      <w:proofErr w:type="spellEnd"/>
      <w:r w:rsidRPr="00B130EF">
        <w:rPr>
          <w:rFonts w:ascii="Times" w:hAnsi="Times" w:cs="Times"/>
          <w:color w:val="000000"/>
        </w:rPr>
        <w:t>- fully from readmission for three years, ten years, or even permanently (</w:t>
      </w:r>
      <w:proofErr w:type="spellStart"/>
      <w:r w:rsidRPr="00B130EF">
        <w:rPr>
          <w:rFonts w:ascii="Times" w:hAnsi="Times" w:cs="Times"/>
          <w:color w:val="000000"/>
        </w:rPr>
        <w:t>Abrego</w:t>
      </w:r>
      <w:proofErr w:type="spellEnd"/>
      <w:r w:rsidRPr="00B130EF">
        <w:rPr>
          <w:rFonts w:ascii="Times" w:hAnsi="Times" w:cs="Times"/>
          <w:color w:val="000000"/>
        </w:rPr>
        <w:t xml:space="preserve">, 2014; </w:t>
      </w:r>
      <w:proofErr w:type="spellStart"/>
      <w:r w:rsidRPr="00B130EF">
        <w:rPr>
          <w:rFonts w:ascii="Times" w:hAnsi="Times" w:cs="Times"/>
          <w:color w:val="000000"/>
        </w:rPr>
        <w:t>Dreby</w:t>
      </w:r>
      <w:proofErr w:type="spellEnd"/>
      <w:r w:rsidRPr="00B130EF">
        <w:rPr>
          <w:rFonts w:ascii="Times" w:hAnsi="Times" w:cs="Times"/>
          <w:color w:val="000000"/>
        </w:rPr>
        <w:t xml:space="preserve">, 2010; </w:t>
      </w:r>
      <w:proofErr w:type="spellStart"/>
      <w:r w:rsidRPr="00B130EF">
        <w:rPr>
          <w:rFonts w:ascii="Times" w:hAnsi="Times" w:cs="Times"/>
          <w:color w:val="000000"/>
        </w:rPr>
        <w:t>Enchantegui</w:t>
      </w:r>
      <w:proofErr w:type="spellEnd"/>
      <w:r w:rsidRPr="00B130EF">
        <w:rPr>
          <w:rFonts w:ascii="Times" w:hAnsi="Times" w:cs="Times"/>
          <w:color w:val="000000"/>
        </w:rPr>
        <w:t xml:space="preserve"> &amp; </w:t>
      </w:r>
      <w:proofErr w:type="spellStart"/>
      <w:r w:rsidRPr="00B130EF">
        <w:rPr>
          <w:rFonts w:ascii="Times" w:hAnsi="Times" w:cs="Times"/>
          <w:color w:val="000000"/>
        </w:rPr>
        <w:t>Menjivar</w:t>
      </w:r>
      <w:proofErr w:type="spellEnd"/>
      <w:r w:rsidRPr="00B130EF">
        <w:rPr>
          <w:rFonts w:ascii="Times" w:hAnsi="Times" w:cs="Times"/>
          <w:color w:val="000000"/>
        </w:rPr>
        <w:t xml:space="preserve">, 2015). In 2001, the law was modified so that even undocumented immigrants who marry U.S. citizens are required to leave the U.S. prior to gaining readmission after a lengthy </w:t>
      </w:r>
      <w:proofErr w:type="spellStart"/>
      <w:r w:rsidRPr="00B130EF">
        <w:rPr>
          <w:rFonts w:ascii="Times" w:hAnsi="Times" w:cs="Times"/>
          <w:color w:val="000000"/>
        </w:rPr>
        <w:t>separa</w:t>
      </w:r>
      <w:proofErr w:type="spellEnd"/>
      <w:r w:rsidRPr="00B130EF">
        <w:rPr>
          <w:rFonts w:ascii="Times" w:hAnsi="Times" w:cs="Times"/>
          <w:color w:val="000000"/>
        </w:rPr>
        <w:t xml:space="preserve">- </w:t>
      </w:r>
      <w:proofErr w:type="spellStart"/>
      <w:r w:rsidRPr="00B130EF">
        <w:rPr>
          <w:rFonts w:ascii="Times" w:hAnsi="Times" w:cs="Times"/>
          <w:color w:val="000000"/>
        </w:rPr>
        <w:t>tion</w:t>
      </w:r>
      <w:proofErr w:type="spellEnd"/>
      <w:r w:rsidRPr="00B130EF">
        <w:rPr>
          <w:rFonts w:ascii="Times" w:hAnsi="Times" w:cs="Times"/>
          <w:color w:val="000000"/>
        </w:rPr>
        <w:t xml:space="preserve"> (</w:t>
      </w:r>
      <w:proofErr w:type="spellStart"/>
      <w:r w:rsidRPr="00B130EF">
        <w:rPr>
          <w:rFonts w:ascii="Times" w:hAnsi="Times" w:cs="Times"/>
          <w:color w:val="000000"/>
        </w:rPr>
        <w:t>Dreby</w:t>
      </w:r>
      <w:proofErr w:type="spellEnd"/>
      <w:r w:rsidRPr="00B130EF">
        <w:rPr>
          <w:rFonts w:ascii="Times" w:hAnsi="Times" w:cs="Times"/>
          <w:color w:val="000000"/>
        </w:rPr>
        <w:t>, 2010). U.S. immigration policy has also historically allowed few options for most immigrants from Latin America to enter the country legally (</w:t>
      </w:r>
      <w:proofErr w:type="spellStart"/>
      <w:r w:rsidRPr="00B130EF">
        <w:rPr>
          <w:rFonts w:ascii="Times" w:hAnsi="Times" w:cs="Times"/>
          <w:color w:val="000000"/>
        </w:rPr>
        <w:t>Abrego</w:t>
      </w:r>
      <w:proofErr w:type="spellEnd"/>
      <w:r w:rsidRPr="00B130EF">
        <w:rPr>
          <w:rFonts w:ascii="Times" w:hAnsi="Times" w:cs="Times"/>
          <w:color w:val="000000"/>
        </w:rPr>
        <w:t xml:space="preserve">, 2014). The effects of the militarization of the border, combined with strict legislation and a lack of legal options for U.S. immigration, have resulted in decreased rates of return migration and increased hardships for immigrants </w:t>
      </w:r>
    </w:p>
    <w:p w14:paraId="631753F1"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b/>
          <w:bCs/>
          <w:color w:val="000000"/>
        </w:rPr>
        <w:t xml:space="preserve">LATINO FAMILY SEPARATION </w:t>
      </w:r>
    </w:p>
    <w:p w14:paraId="10FC2A9B"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b/>
          <w:bCs/>
          <w:color w:val="000000"/>
        </w:rPr>
        <w:t xml:space="preserve">213 </w:t>
      </w:r>
    </w:p>
    <w:p w14:paraId="34FB3EEC"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b/>
          <w:bCs/>
          <w:color w:val="000000"/>
        </w:rPr>
        <w:t xml:space="preserve">SCHOOL COMMUNITY JOURNAL </w:t>
      </w:r>
    </w:p>
    <w:p w14:paraId="25A9A992"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w:t>
      </w:r>
      <w:proofErr w:type="spellStart"/>
      <w:r w:rsidRPr="00B130EF">
        <w:rPr>
          <w:rFonts w:ascii="Times" w:hAnsi="Times" w:cs="Times"/>
          <w:color w:val="000000"/>
        </w:rPr>
        <w:t>Dreby</w:t>
      </w:r>
      <w:proofErr w:type="spellEnd"/>
      <w:r w:rsidRPr="00B130EF">
        <w:rPr>
          <w:rFonts w:ascii="Times" w:hAnsi="Times" w:cs="Times"/>
          <w:color w:val="000000"/>
        </w:rPr>
        <w:t>, 2010; Massey et al., 2016). Thus U.S. immigration legislation and policies as well as many state policies have further produced a system that in- creases family separations and deters families from reunification (</w:t>
      </w:r>
      <w:proofErr w:type="spellStart"/>
      <w:r w:rsidRPr="00B130EF">
        <w:rPr>
          <w:rFonts w:ascii="Times" w:hAnsi="Times" w:cs="Times"/>
          <w:color w:val="000000"/>
        </w:rPr>
        <w:t>Dreby</w:t>
      </w:r>
      <w:proofErr w:type="spellEnd"/>
      <w:r w:rsidRPr="00B130EF">
        <w:rPr>
          <w:rFonts w:ascii="Times" w:hAnsi="Times" w:cs="Times"/>
          <w:color w:val="000000"/>
        </w:rPr>
        <w:t xml:space="preserve">, 2010; </w:t>
      </w:r>
      <w:proofErr w:type="spellStart"/>
      <w:r w:rsidRPr="00B130EF">
        <w:rPr>
          <w:rFonts w:ascii="Times" w:hAnsi="Times" w:cs="Times"/>
          <w:color w:val="000000"/>
        </w:rPr>
        <w:t>Enchantegui</w:t>
      </w:r>
      <w:proofErr w:type="spellEnd"/>
      <w:r w:rsidRPr="00B130EF">
        <w:rPr>
          <w:rFonts w:ascii="Times" w:hAnsi="Times" w:cs="Times"/>
          <w:color w:val="000000"/>
        </w:rPr>
        <w:t xml:space="preserve"> &amp; </w:t>
      </w:r>
      <w:proofErr w:type="spellStart"/>
      <w:r w:rsidRPr="00B130EF">
        <w:rPr>
          <w:rFonts w:ascii="Times" w:hAnsi="Times" w:cs="Times"/>
          <w:color w:val="000000"/>
        </w:rPr>
        <w:t>Menjivar</w:t>
      </w:r>
      <w:proofErr w:type="spellEnd"/>
      <w:r w:rsidRPr="00B130EF">
        <w:rPr>
          <w:rFonts w:ascii="Times" w:hAnsi="Times" w:cs="Times"/>
          <w:color w:val="000000"/>
        </w:rPr>
        <w:t xml:space="preserve">, 2015; Patel et al., 2016; Slack et al., 2015). </w:t>
      </w:r>
    </w:p>
    <w:p w14:paraId="78DB049A"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 xml:space="preserve">Family Separation Historically: Male Breadwinners in America </w:t>
      </w:r>
    </w:p>
    <w:p w14:paraId="054C7B7D"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One phenomenon associated with immigration to the U.S. has been the separation of families—one or a few family members at a time—during the immigration process. Commonly, immigration has taken place in a “stepwise” pattern where one family member immigrates first and is then followed by others (</w:t>
      </w:r>
      <w:proofErr w:type="spellStart"/>
      <w:r w:rsidRPr="00B130EF">
        <w:rPr>
          <w:rFonts w:ascii="Times" w:hAnsi="Times" w:cs="Times"/>
          <w:color w:val="000000"/>
        </w:rPr>
        <w:t>Hondagneu</w:t>
      </w:r>
      <w:proofErr w:type="spellEnd"/>
      <w:r w:rsidRPr="00B130EF">
        <w:rPr>
          <w:rFonts w:ascii="Times" w:hAnsi="Times" w:cs="Times"/>
          <w:color w:val="000000"/>
        </w:rPr>
        <w:t xml:space="preserve">-Sotelo &amp; Avila, 1997; Lovato-Hermann, 2017; </w:t>
      </w:r>
      <w:proofErr w:type="spellStart"/>
      <w:r w:rsidRPr="00B130EF">
        <w:rPr>
          <w:rFonts w:ascii="Times" w:hAnsi="Times" w:cs="Times"/>
          <w:color w:val="000000"/>
        </w:rPr>
        <w:t>Rusch</w:t>
      </w:r>
      <w:proofErr w:type="spellEnd"/>
      <w:r w:rsidRPr="00B130EF">
        <w:rPr>
          <w:rFonts w:ascii="Times" w:hAnsi="Times" w:cs="Times"/>
          <w:color w:val="000000"/>
        </w:rPr>
        <w:t xml:space="preserve"> &amp; Reyes, 2012; Suarez-Orozco et al., 2008). Oftentimes, families do not </w:t>
      </w:r>
      <w:proofErr w:type="spellStart"/>
      <w:r w:rsidRPr="00B130EF">
        <w:rPr>
          <w:rFonts w:ascii="Times" w:hAnsi="Times" w:cs="Times"/>
          <w:color w:val="000000"/>
        </w:rPr>
        <w:t>im</w:t>
      </w:r>
      <w:proofErr w:type="spellEnd"/>
      <w:r w:rsidRPr="00B130EF">
        <w:rPr>
          <w:rFonts w:ascii="Times" w:hAnsi="Times" w:cs="Times"/>
          <w:color w:val="000000"/>
        </w:rPr>
        <w:t>- migrate as an intact unit due to the limited economic resources available to many immigrants. Therefore, typically, one or both parents immigrate first, and other family members must wait until enough money is saved to finance subsequent waves of immigration within the family (</w:t>
      </w:r>
      <w:proofErr w:type="spellStart"/>
      <w:r w:rsidRPr="00B130EF">
        <w:rPr>
          <w:rFonts w:ascii="Times" w:hAnsi="Times" w:cs="Times"/>
          <w:color w:val="000000"/>
        </w:rPr>
        <w:t>Rusch</w:t>
      </w:r>
      <w:proofErr w:type="spellEnd"/>
      <w:r w:rsidRPr="00B130EF">
        <w:rPr>
          <w:rFonts w:ascii="Times" w:hAnsi="Times" w:cs="Times"/>
          <w:color w:val="000000"/>
        </w:rPr>
        <w:t xml:space="preserve"> &amp; Reyes, 2012; Suarez-Orozco, Bang, &amp; Kim, 2011). In other cases, children sometimes arrive first and live with relatives or friends while parents and siblings remain in the country of origin. As a result, families who experience separation during </w:t>
      </w:r>
      <w:proofErr w:type="spellStart"/>
      <w:r w:rsidRPr="00B130EF">
        <w:rPr>
          <w:rFonts w:ascii="Times" w:hAnsi="Times" w:cs="Times"/>
          <w:color w:val="000000"/>
        </w:rPr>
        <w:t>im</w:t>
      </w:r>
      <w:proofErr w:type="spellEnd"/>
      <w:r w:rsidRPr="00B130EF">
        <w:rPr>
          <w:rFonts w:ascii="Times" w:hAnsi="Times" w:cs="Times"/>
          <w:color w:val="000000"/>
        </w:rPr>
        <w:t xml:space="preserve">- migration tend to be those experiencing higher levels of poverty. This type of migration leads to the </w:t>
      </w:r>
      <w:proofErr w:type="spellStart"/>
      <w:r w:rsidRPr="00B130EF">
        <w:rPr>
          <w:rFonts w:ascii="Times" w:hAnsi="Times" w:cs="Times"/>
          <w:color w:val="000000"/>
        </w:rPr>
        <w:t>transnationalization</w:t>
      </w:r>
      <w:proofErr w:type="spellEnd"/>
      <w:r w:rsidRPr="00B130EF">
        <w:rPr>
          <w:rFonts w:ascii="Times" w:hAnsi="Times" w:cs="Times"/>
          <w:color w:val="000000"/>
        </w:rPr>
        <w:t xml:space="preserve"> of families (where some members of the family live in one country, while others remain in the country of origin). The </w:t>
      </w:r>
      <w:proofErr w:type="spellStart"/>
      <w:r w:rsidRPr="00B130EF">
        <w:rPr>
          <w:rFonts w:ascii="Times" w:hAnsi="Times" w:cs="Times"/>
          <w:color w:val="000000"/>
        </w:rPr>
        <w:t>transnationalization</w:t>
      </w:r>
      <w:proofErr w:type="spellEnd"/>
      <w:r w:rsidRPr="00B130EF">
        <w:rPr>
          <w:rFonts w:ascii="Times" w:hAnsi="Times" w:cs="Times"/>
          <w:color w:val="000000"/>
        </w:rPr>
        <w:t xml:space="preserve"> of families is often due to structural inequalities that make it impossible for families to sustain themselves in their native country (</w:t>
      </w:r>
      <w:proofErr w:type="spellStart"/>
      <w:r w:rsidRPr="00B130EF">
        <w:rPr>
          <w:rFonts w:ascii="Times" w:hAnsi="Times" w:cs="Times"/>
          <w:color w:val="000000"/>
        </w:rPr>
        <w:t>Hondagneu</w:t>
      </w:r>
      <w:proofErr w:type="spellEnd"/>
      <w:r w:rsidRPr="00B130EF">
        <w:rPr>
          <w:rFonts w:ascii="Times" w:hAnsi="Times" w:cs="Times"/>
          <w:color w:val="000000"/>
        </w:rPr>
        <w:t xml:space="preserve">-Sotelo, 2002). In one study, Suarez-Orozco, Todorova, and Louie (2002) found that nearly half of immigrant children were separated from both parents at some point during the immigration process. Although separation from both parents is fairly common among immigrants, historically, men have led the way in family immigration by finding work and establishing themselves in the new country first (Suarez-Orozco et al., 2008). After a period of work- </w:t>
      </w:r>
      <w:proofErr w:type="spellStart"/>
      <w:r w:rsidRPr="00B130EF">
        <w:rPr>
          <w:rFonts w:ascii="Times" w:hAnsi="Times" w:cs="Times"/>
          <w:color w:val="000000"/>
        </w:rPr>
        <w:t>ing</w:t>
      </w:r>
      <w:proofErr w:type="spellEnd"/>
      <w:r w:rsidRPr="00B130EF">
        <w:rPr>
          <w:rFonts w:ascii="Times" w:hAnsi="Times" w:cs="Times"/>
          <w:color w:val="000000"/>
        </w:rPr>
        <w:t xml:space="preserve"> and sending remittances home to support the family abroad, they would send for wives and children to join them as soon as it was economically possible (</w:t>
      </w:r>
      <w:proofErr w:type="spellStart"/>
      <w:r w:rsidRPr="00B130EF">
        <w:rPr>
          <w:rFonts w:ascii="Times" w:hAnsi="Times" w:cs="Times"/>
          <w:color w:val="000000"/>
        </w:rPr>
        <w:t>Dreby</w:t>
      </w:r>
      <w:proofErr w:type="spellEnd"/>
      <w:r w:rsidRPr="00B130EF">
        <w:rPr>
          <w:rFonts w:ascii="Times" w:hAnsi="Times" w:cs="Times"/>
          <w:color w:val="000000"/>
        </w:rPr>
        <w:t xml:space="preserve">, 2015; </w:t>
      </w:r>
      <w:proofErr w:type="spellStart"/>
      <w:r w:rsidRPr="00B130EF">
        <w:rPr>
          <w:rFonts w:ascii="Times" w:hAnsi="Times" w:cs="Times"/>
          <w:color w:val="000000"/>
        </w:rPr>
        <w:t>Rusch</w:t>
      </w:r>
      <w:proofErr w:type="spellEnd"/>
      <w:r w:rsidRPr="00B130EF">
        <w:rPr>
          <w:rFonts w:ascii="Times" w:hAnsi="Times" w:cs="Times"/>
          <w:color w:val="000000"/>
        </w:rPr>
        <w:t xml:space="preserve"> &amp; Reyes, 2012; Suarez-Orozco et al., 2011). </w:t>
      </w:r>
    </w:p>
    <w:p w14:paraId="622A217B"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Separation of families during immigration can occur with families from many regions of the world. Many Asians experience family separation during immigration, and Haitian immigrants experience family separations at some of the highest levels (</w:t>
      </w:r>
      <w:proofErr w:type="spellStart"/>
      <w:r w:rsidRPr="00B130EF">
        <w:rPr>
          <w:rFonts w:ascii="Times" w:hAnsi="Times" w:cs="Times"/>
          <w:color w:val="000000"/>
        </w:rPr>
        <w:t>Parrenas</w:t>
      </w:r>
      <w:proofErr w:type="spellEnd"/>
      <w:r w:rsidRPr="00B130EF">
        <w:rPr>
          <w:rFonts w:ascii="Times" w:hAnsi="Times" w:cs="Times"/>
          <w:color w:val="000000"/>
        </w:rPr>
        <w:t>, 2001; Suarez-Orozco et al., 2002, 2008). De- spite the fact that family separation is fairly common among all immigrants, it is particularly noticeable among immigrants from Latin America due to their large numbers across the U.S. (</w:t>
      </w:r>
      <w:proofErr w:type="spellStart"/>
      <w:r w:rsidRPr="00B130EF">
        <w:rPr>
          <w:rFonts w:ascii="Times" w:hAnsi="Times" w:cs="Times"/>
          <w:color w:val="000000"/>
        </w:rPr>
        <w:t>Dreby</w:t>
      </w:r>
      <w:proofErr w:type="spellEnd"/>
      <w:r w:rsidRPr="00B130EF">
        <w:rPr>
          <w:rFonts w:ascii="Times" w:hAnsi="Times" w:cs="Times"/>
          <w:color w:val="000000"/>
        </w:rPr>
        <w:t xml:space="preserve">, 2010). This phenomenon appears to be </w:t>
      </w:r>
    </w:p>
    <w:p w14:paraId="055358EF"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b/>
          <w:bCs/>
          <w:color w:val="000000"/>
        </w:rPr>
        <w:t xml:space="preserve">214 </w:t>
      </w:r>
    </w:p>
    <w:p w14:paraId="698775DB"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 xml:space="preserve">particularly prevalent among Central American families where as many as 96% of children were separated from their fathers during immigration, according to one study (Suarez-Orozco et al., 2002). One early example of this type of pa- </w:t>
      </w:r>
      <w:proofErr w:type="spellStart"/>
      <w:r w:rsidRPr="00B130EF">
        <w:rPr>
          <w:rFonts w:ascii="Times" w:hAnsi="Times" w:cs="Times"/>
          <w:color w:val="000000"/>
        </w:rPr>
        <w:t>ternal</w:t>
      </w:r>
      <w:proofErr w:type="spellEnd"/>
      <w:r w:rsidRPr="00B130EF">
        <w:rPr>
          <w:rFonts w:ascii="Times" w:hAnsi="Times" w:cs="Times"/>
          <w:color w:val="000000"/>
        </w:rPr>
        <w:t xml:space="preserve"> separation occurred as a result of the </w:t>
      </w:r>
      <w:r w:rsidRPr="00B130EF">
        <w:rPr>
          <w:rFonts w:ascii="Times" w:hAnsi="Times" w:cs="Times"/>
          <w:i/>
          <w:iCs/>
          <w:color w:val="000000"/>
        </w:rPr>
        <w:t xml:space="preserve">Bracero </w:t>
      </w:r>
      <w:r w:rsidRPr="00B130EF">
        <w:rPr>
          <w:rFonts w:ascii="Times" w:hAnsi="Times" w:cs="Times"/>
          <w:color w:val="000000"/>
        </w:rPr>
        <w:t>Program, which brought low-cost laborers from Mexico as guest workers without their families to work on farms in the U.S. from 1942 to 1964 (</w:t>
      </w:r>
      <w:proofErr w:type="spellStart"/>
      <w:r w:rsidRPr="00B130EF">
        <w:rPr>
          <w:rFonts w:ascii="Times" w:hAnsi="Times" w:cs="Times"/>
          <w:color w:val="000000"/>
        </w:rPr>
        <w:t>Dreby</w:t>
      </w:r>
      <w:proofErr w:type="spellEnd"/>
      <w:r w:rsidRPr="00B130EF">
        <w:rPr>
          <w:rFonts w:ascii="Times" w:hAnsi="Times" w:cs="Times"/>
          <w:color w:val="000000"/>
        </w:rPr>
        <w:t xml:space="preserve">, 2015; </w:t>
      </w:r>
      <w:proofErr w:type="spellStart"/>
      <w:r w:rsidRPr="00B130EF">
        <w:rPr>
          <w:rFonts w:ascii="Times" w:hAnsi="Times" w:cs="Times"/>
          <w:color w:val="000000"/>
        </w:rPr>
        <w:t>Hondagneu</w:t>
      </w:r>
      <w:proofErr w:type="spellEnd"/>
      <w:r w:rsidRPr="00B130EF">
        <w:rPr>
          <w:rFonts w:ascii="Times" w:hAnsi="Times" w:cs="Times"/>
          <w:color w:val="000000"/>
        </w:rPr>
        <w:t xml:space="preserve">-Sotelo &amp; Avila, 1997). In some instances, families were able to eventually reunite </w:t>
      </w:r>
      <w:proofErr w:type="spellStart"/>
      <w:r w:rsidRPr="00B130EF">
        <w:rPr>
          <w:rFonts w:ascii="Times" w:hAnsi="Times" w:cs="Times"/>
          <w:color w:val="000000"/>
        </w:rPr>
        <w:t>ei</w:t>
      </w:r>
      <w:proofErr w:type="spellEnd"/>
      <w:r w:rsidRPr="00B130EF">
        <w:rPr>
          <w:rFonts w:ascii="Times" w:hAnsi="Times" w:cs="Times"/>
          <w:color w:val="000000"/>
        </w:rPr>
        <w:t xml:space="preserve">- </w:t>
      </w:r>
      <w:proofErr w:type="spellStart"/>
      <w:r w:rsidRPr="00B130EF">
        <w:rPr>
          <w:rFonts w:ascii="Times" w:hAnsi="Times" w:cs="Times"/>
          <w:color w:val="000000"/>
        </w:rPr>
        <w:t>ther</w:t>
      </w:r>
      <w:proofErr w:type="spellEnd"/>
      <w:r w:rsidRPr="00B130EF">
        <w:rPr>
          <w:rFonts w:ascii="Times" w:hAnsi="Times" w:cs="Times"/>
          <w:color w:val="000000"/>
        </w:rPr>
        <w:t xml:space="preserve"> in the U.S. or in Mexico. However, family separations during the </w:t>
      </w:r>
      <w:r w:rsidRPr="00B130EF">
        <w:rPr>
          <w:rFonts w:ascii="Times" w:hAnsi="Times" w:cs="Times"/>
          <w:i/>
          <w:iCs/>
          <w:color w:val="000000"/>
        </w:rPr>
        <w:t xml:space="preserve">Bracero </w:t>
      </w:r>
      <w:r w:rsidRPr="00B130EF">
        <w:rPr>
          <w:rFonts w:ascii="Times" w:hAnsi="Times" w:cs="Times"/>
          <w:color w:val="000000"/>
        </w:rPr>
        <w:t xml:space="preserve">Program did not always end with family reunification. Since that time, family separation during immigration among Latin American families has continued to occur. Although difficult to measure, incidences of child separation from one or both parents during immigration have been found to impact a </w:t>
      </w:r>
      <w:proofErr w:type="spellStart"/>
      <w:r w:rsidRPr="00B130EF">
        <w:rPr>
          <w:rFonts w:ascii="Times" w:hAnsi="Times" w:cs="Times"/>
          <w:color w:val="000000"/>
        </w:rPr>
        <w:t>signifi</w:t>
      </w:r>
      <w:proofErr w:type="spellEnd"/>
      <w:r w:rsidRPr="00B130EF">
        <w:rPr>
          <w:rFonts w:ascii="Times" w:hAnsi="Times" w:cs="Times"/>
          <w:color w:val="000000"/>
        </w:rPr>
        <w:t xml:space="preserve">- </w:t>
      </w:r>
      <w:proofErr w:type="gramStart"/>
      <w:r w:rsidRPr="00B130EF">
        <w:rPr>
          <w:rFonts w:ascii="Times" w:hAnsi="Times" w:cs="Times"/>
          <w:color w:val="000000"/>
        </w:rPr>
        <w:t>cant</w:t>
      </w:r>
      <w:proofErr w:type="gramEnd"/>
      <w:r w:rsidRPr="00B130EF">
        <w:rPr>
          <w:rFonts w:ascii="Times" w:hAnsi="Times" w:cs="Times"/>
          <w:color w:val="000000"/>
        </w:rPr>
        <w:t xml:space="preserve"> number of Latin American immigrant children now living in the U.S. (</w:t>
      </w:r>
      <w:proofErr w:type="spellStart"/>
      <w:r w:rsidRPr="00B130EF">
        <w:rPr>
          <w:rFonts w:ascii="Times" w:hAnsi="Times" w:cs="Times"/>
          <w:color w:val="000000"/>
        </w:rPr>
        <w:t>Dreby</w:t>
      </w:r>
      <w:proofErr w:type="spellEnd"/>
      <w:r w:rsidRPr="00B130EF">
        <w:rPr>
          <w:rFonts w:ascii="Times" w:hAnsi="Times" w:cs="Times"/>
          <w:color w:val="000000"/>
        </w:rPr>
        <w:t xml:space="preserve">, 2015; </w:t>
      </w:r>
      <w:proofErr w:type="spellStart"/>
      <w:r w:rsidRPr="00B130EF">
        <w:rPr>
          <w:rFonts w:ascii="Times" w:hAnsi="Times" w:cs="Times"/>
          <w:color w:val="000000"/>
        </w:rPr>
        <w:t>Enchantegui</w:t>
      </w:r>
      <w:proofErr w:type="spellEnd"/>
      <w:r w:rsidRPr="00B130EF">
        <w:rPr>
          <w:rFonts w:ascii="Times" w:hAnsi="Times" w:cs="Times"/>
          <w:color w:val="000000"/>
        </w:rPr>
        <w:t xml:space="preserve"> &amp; </w:t>
      </w:r>
      <w:proofErr w:type="spellStart"/>
      <w:r w:rsidRPr="00B130EF">
        <w:rPr>
          <w:rFonts w:ascii="Times" w:hAnsi="Times" w:cs="Times"/>
          <w:color w:val="000000"/>
        </w:rPr>
        <w:t>Menjivar</w:t>
      </w:r>
      <w:proofErr w:type="spellEnd"/>
      <w:r w:rsidRPr="00B130EF">
        <w:rPr>
          <w:rFonts w:ascii="Times" w:hAnsi="Times" w:cs="Times"/>
          <w:color w:val="000000"/>
        </w:rPr>
        <w:t xml:space="preserve">, 2015; Lovato-Hermann, 2017; </w:t>
      </w:r>
      <w:proofErr w:type="spellStart"/>
      <w:r w:rsidRPr="00B130EF">
        <w:rPr>
          <w:rFonts w:ascii="Times" w:hAnsi="Times" w:cs="Times"/>
          <w:color w:val="000000"/>
        </w:rPr>
        <w:t>Rusch</w:t>
      </w:r>
      <w:proofErr w:type="spellEnd"/>
      <w:r w:rsidRPr="00B130EF">
        <w:rPr>
          <w:rFonts w:ascii="Times" w:hAnsi="Times" w:cs="Times"/>
          <w:color w:val="000000"/>
        </w:rPr>
        <w:t xml:space="preserve"> &amp; Reyes, 2012; Suarez-Orozco et al., 2002, 2011). </w:t>
      </w:r>
    </w:p>
    <w:p w14:paraId="0CC132C5"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 xml:space="preserve">Family Separation Today: The Rise of Immigrant Mothers </w:t>
      </w:r>
    </w:p>
    <w:p w14:paraId="6AC56BBB"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Recently the demands for service workers have drawn larger numbers of women to immigrate to the U.S. (</w:t>
      </w:r>
      <w:proofErr w:type="spellStart"/>
      <w:r w:rsidRPr="00B130EF">
        <w:rPr>
          <w:rFonts w:ascii="Times" w:hAnsi="Times" w:cs="Times"/>
          <w:color w:val="000000"/>
        </w:rPr>
        <w:t>Hondagneu</w:t>
      </w:r>
      <w:proofErr w:type="spellEnd"/>
      <w:r w:rsidRPr="00B130EF">
        <w:rPr>
          <w:rFonts w:ascii="Times" w:hAnsi="Times" w:cs="Times"/>
          <w:color w:val="000000"/>
        </w:rPr>
        <w:t xml:space="preserve">-Sotelo, 2002; Lovato-Hermann, 2017; </w:t>
      </w:r>
      <w:proofErr w:type="spellStart"/>
      <w:r w:rsidRPr="00B130EF">
        <w:rPr>
          <w:rFonts w:ascii="Times" w:hAnsi="Times" w:cs="Times"/>
          <w:color w:val="000000"/>
        </w:rPr>
        <w:t>Rusch</w:t>
      </w:r>
      <w:proofErr w:type="spellEnd"/>
      <w:r w:rsidRPr="00B130EF">
        <w:rPr>
          <w:rFonts w:ascii="Times" w:hAnsi="Times" w:cs="Times"/>
          <w:color w:val="000000"/>
        </w:rPr>
        <w:t xml:space="preserve"> &amp; Reyes, 2012; Suarez-Orozco et al., 2008). Female immigrants are typically able to find either legal or undocumented employment as nan- </w:t>
      </w:r>
      <w:proofErr w:type="spellStart"/>
      <w:r w:rsidRPr="00B130EF">
        <w:rPr>
          <w:rFonts w:ascii="Times" w:hAnsi="Times" w:cs="Times"/>
          <w:color w:val="000000"/>
        </w:rPr>
        <w:t>nies</w:t>
      </w:r>
      <w:proofErr w:type="spellEnd"/>
      <w:r w:rsidRPr="00B130EF">
        <w:rPr>
          <w:rFonts w:ascii="Times" w:hAnsi="Times" w:cs="Times"/>
          <w:color w:val="000000"/>
        </w:rPr>
        <w:t>, maids, or restaurant or factory workers (</w:t>
      </w:r>
      <w:proofErr w:type="spellStart"/>
      <w:r w:rsidRPr="00B130EF">
        <w:rPr>
          <w:rFonts w:ascii="Times" w:hAnsi="Times" w:cs="Times"/>
          <w:color w:val="000000"/>
        </w:rPr>
        <w:t>Hondagneu</w:t>
      </w:r>
      <w:proofErr w:type="spellEnd"/>
      <w:r w:rsidRPr="00B130EF">
        <w:rPr>
          <w:rFonts w:ascii="Times" w:hAnsi="Times" w:cs="Times"/>
          <w:color w:val="000000"/>
        </w:rPr>
        <w:t xml:space="preserve">-Sotelo, 2002). As more U.S. women take jobs outside the home, the need for domestic work- </w:t>
      </w:r>
      <w:proofErr w:type="spellStart"/>
      <w:r w:rsidRPr="00B130EF">
        <w:rPr>
          <w:rFonts w:ascii="Times" w:hAnsi="Times" w:cs="Times"/>
          <w:color w:val="000000"/>
        </w:rPr>
        <w:t>ers</w:t>
      </w:r>
      <w:proofErr w:type="spellEnd"/>
      <w:r w:rsidRPr="00B130EF">
        <w:rPr>
          <w:rFonts w:ascii="Times" w:hAnsi="Times" w:cs="Times"/>
          <w:color w:val="000000"/>
        </w:rPr>
        <w:t xml:space="preserve"> to take care of their children and maintain their homes has grown. Often these roles are filled by female immigrants who decide to leave their children in their countries of origin to avoid both the dangers of border crossing with children and the additional costs that would be entailed (</w:t>
      </w:r>
      <w:proofErr w:type="spellStart"/>
      <w:r w:rsidRPr="00B130EF">
        <w:rPr>
          <w:rFonts w:ascii="Times" w:hAnsi="Times" w:cs="Times"/>
          <w:color w:val="000000"/>
        </w:rPr>
        <w:t>Hondagneu</w:t>
      </w:r>
      <w:proofErr w:type="spellEnd"/>
      <w:r w:rsidRPr="00B130EF">
        <w:rPr>
          <w:rFonts w:ascii="Times" w:hAnsi="Times" w:cs="Times"/>
          <w:color w:val="000000"/>
        </w:rPr>
        <w:t xml:space="preserve">-Sotelo, 2002; Moran-Taylor, 2008). Research by </w:t>
      </w:r>
      <w:proofErr w:type="spellStart"/>
      <w:r w:rsidRPr="00B130EF">
        <w:rPr>
          <w:rFonts w:ascii="Times" w:hAnsi="Times" w:cs="Times"/>
          <w:color w:val="000000"/>
        </w:rPr>
        <w:t>Abrego</w:t>
      </w:r>
      <w:proofErr w:type="spellEnd"/>
      <w:r w:rsidRPr="00B130EF">
        <w:rPr>
          <w:rFonts w:ascii="Times" w:hAnsi="Times" w:cs="Times"/>
          <w:color w:val="000000"/>
        </w:rPr>
        <w:t xml:space="preserve"> (2009) found that more than half of immigrant children were separated from their mothers sometime </w:t>
      </w:r>
      <w:proofErr w:type="spellStart"/>
      <w:r w:rsidRPr="00B130EF">
        <w:rPr>
          <w:rFonts w:ascii="Times" w:hAnsi="Times" w:cs="Times"/>
          <w:color w:val="000000"/>
        </w:rPr>
        <w:t>dur</w:t>
      </w:r>
      <w:proofErr w:type="spellEnd"/>
      <w:r w:rsidRPr="00B130EF">
        <w:rPr>
          <w:rFonts w:ascii="Times" w:hAnsi="Times" w:cs="Times"/>
          <w:color w:val="000000"/>
        </w:rPr>
        <w:t xml:space="preserve">- </w:t>
      </w:r>
      <w:proofErr w:type="spellStart"/>
      <w:r w:rsidRPr="00B130EF">
        <w:rPr>
          <w:rFonts w:ascii="Times" w:hAnsi="Times" w:cs="Times"/>
          <w:color w:val="000000"/>
        </w:rPr>
        <w:t>ing</w:t>
      </w:r>
      <w:proofErr w:type="spellEnd"/>
      <w:r w:rsidRPr="00B130EF">
        <w:rPr>
          <w:rFonts w:ascii="Times" w:hAnsi="Times" w:cs="Times"/>
          <w:color w:val="000000"/>
        </w:rPr>
        <w:t xml:space="preserve"> the immigration process. Although immigrant mothers face more difficult economic conditions during immigration, their families in their homeland of- ten thrive economically as a result of the extreme sacrifices immigrant mothers make in order to send remittances home. When compared to fathers, some studies have found mothers who are separated from their children send a </w:t>
      </w:r>
      <w:proofErr w:type="spellStart"/>
      <w:r w:rsidRPr="00B130EF">
        <w:rPr>
          <w:rFonts w:ascii="Times" w:hAnsi="Times" w:cs="Times"/>
          <w:color w:val="000000"/>
        </w:rPr>
        <w:t>larg</w:t>
      </w:r>
      <w:proofErr w:type="spellEnd"/>
      <w:r w:rsidRPr="00B130EF">
        <w:rPr>
          <w:rFonts w:ascii="Times" w:hAnsi="Times" w:cs="Times"/>
          <w:color w:val="000000"/>
        </w:rPr>
        <w:t xml:space="preserve">- </w:t>
      </w:r>
      <w:proofErr w:type="spellStart"/>
      <w:r w:rsidRPr="00B130EF">
        <w:rPr>
          <w:rFonts w:ascii="Times" w:hAnsi="Times" w:cs="Times"/>
          <w:color w:val="000000"/>
        </w:rPr>
        <w:t>er</w:t>
      </w:r>
      <w:proofErr w:type="spellEnd"/>
      <w:r w:rsidRPr="00B130EF">
        <w:rPr>
          <w:rFonts w:ascii="Times" w:hAnsi="Times" w:cs="Times"/>
          <w:color w:val="000000"/>
        </w:rPr>
        <w:t xml:space="preserve"> percentage of their earnings to support their families in their native lands (</w:t>
      </w:r>
      <w:proofErr w:type="spellStart"/>
      <w:r w:rsidRPr="00B130EF">
        <w:rPr>
          <w:rFonts w:ascii="Times" w:hAnsi="Times" w:cs="Times"/>
          <w:color w:val="000000"/>
        </w:rPr>
        <w:t>Abrego</w:t>
      </w:r>
      <w:proofErr w:type="spellEnd"/>
      <w:r w:rsidRPr="00B130EF">
        <w:rPr>
          <w:rFonts w:ascii="Times" w:hAnsi="Times" w:cs="Times"/>
          <w:color w:val="000000"/>
        </w:rPr>
        <w:t>, 2009; Schapiro et al., 2013). However, maternal separation has larger negative results on psychological and emotional health for children when com- pared to paternal separation (</w:t>
      </w:r>
      <w:proofErr w:type="spellStart"/>
      <w:r w:rsidRPr="00B130EF">
        <w:rPr>
          <w:rFonts w:ascii="Times" w:hAnsi="Times" w:cs="Times"/>
          <w:color w:val="000000"/>
        </w:rPr>
        <w:t>Dreby</w:t>
      </w:r>
      <w:proofErr w:type="spellEnd"/>
      <w:r w:rsidRPr="00B130EF">
        <w:rPr>
          <w:rFonts w:ascii="Times" w:hAnsi="Times" w:cs="Times"/>
          <w:color w:val="000000"/>
        </w:rPr>
        <w:t>, 2007, 2015; Suarez-Orozco et al., 2011). In addition, family separation during immigration has been found to have a negative impact on the mental health of the mothers as well (</w:t>
      </w:r>
      <w:proofErr w:type="spellStart"/>
      <w:r w:rsidRPr="00B130EF">
        <w:rPr>
          <w:rFonts w:ascii="Times" w:hAnsi="Times" w:cs="Times"/>
          <w:color w:val="000000"/>
        </w:rPr>
        <w:t>Dreby</w:t>
      </w:r>
      <w:proofErr w:type="spellEnd"/>
      <w:r w:rsidRPr="00B130EF">
        <w:rPr>
          <w:rFonts w:ascii="Times" w:hAnsi="Times" w:cs="Times"/>
          <w:color w:val="000000"/>
        </w:rPr>
        <w:t xml:space="preserve">, 2015; </w:t>
      </w:r>
    </w:p>
    <w:p w14:paraId="32C2DFAB"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b/>
          <w:bCs/>
          <w:color w:val="000000"/>
        </w:rPr>
        <w:t xml:space="preserve">LATINO FAMILY SEPARATION </w:t>
      </w:r>
    </w:p>
    <w:p w14:paraId="790B6AF9"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b/>
          <w:bCs/>
          <w:color w:val="000000"/>
        </w:rPr>
        <w:t xml:space="preserve">215 </w:t>
      </w:r>
    </w:p>
    <w:p w14:paraId="4613DA14"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b/>
          <w:bCs/>
          <w:color w:val="000000"/>
        </w:rPr>
        <w:t xml:space="preserve">SCHOOL COMMUNITY JOURNAL </w:t>
      </w:r>
    </w:p>
    <w:p w14:paraId="02A2026B"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 xml:space="preserve">Schapiro et al., 2013). The vast majority of parents who immigrate without their children leave them in the care of extended family members. Whenever possible, the maternal grandmother is the caregiver of choice for most </w:t>
      </w:r>
      <w:proofErr w:type="spellStart"/>
      <w:r w:rsidRPr="00B130EF">
        <w:rPr>
          <w:rFonts w:ascii="Times" w:hAnsi="Times" w:cs="Times"/>
          <w:color w:val="000000"/>
        </w:rPr>
        <w:t>immi</w:t>
      </w:r>
      <w:proofErr w:type="spellEnd"/>
      <w:r w:rsidRPr="00B130EF">
        <w:rPr>
          <w:rFonts w:ascii="Times" w:hAnsi="Times" w:cs="Times"/>
          <w:color w:val="000000"/>
        </w:rPr>
        <w:t>- grant parents (</w:t>
      </w:r>
      <w:proofErr w:type="spellStart"/>
      <w:r w:rsidRPr="00B130EF">
        <w:rPr>
          <w:rFonts w:ascii="Times" w:hAnsi="Times" w:cs="Times"/>
          <w:color w:val="000000"/>
        </w:rPr>
        <w:t>Dreby</w:t>
      </w:r>
      <w:proofErr w:type="spellEnd"/>
      <w:r w:rsidRPr="00B130EF">
        <w:rPr>
          <w:rFonts w:ascii="Times" w:hAnsi="Times" w:cs="Times"/>
          <w:color w:val="000000"/>
        </w:rPr>
        <w:t xml:space="preserve">, 2006). There are frequently unintended consequences that surface later in the immigration process when children are separated from family members who have become their primary caregivers in the absence of their biological parents (Lovato-Hermann, 2017; Suarez-Orozco et al., 2002, 2008). Despite parents’ best efforts to relieve the stress on their children, </w:t>
      </w:r>
      <w:proofErr w:type="spellStart"/>
      <w:r w:rsidRPr="00B130EF">
        <w:rPr>
          <w:rFonts w:ascii="Times" w:hAnsi="Times" w:cs="Times"/>
          <w:color w:val="000000"/>
        </w:rPr>
        <w:t>im</w:t>
      </w:r>
      <w:proofErr w:type="spellEnd"/>
      <w:r w:rsidRPr="00B130EF">
        <w:rPr>
          <w:rFonts w:ascii="Times" w:hAnsi="Times" w:cs="Times"/>
          <w:color w:val="000000"/>
        </w:rPr>
        <w:t xml:space="preserve">- migrant youth often experience negative consequences. </w:t>
      </w:r>
    </w:p>
    <w:p w14:paraId="1C436B7C"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 xml:space="preserve">Length of Separation: From Short-Term to Permanent </w:t>
      </w:r>
    </w:p>
    <w:p w14:paraId="617F38C2"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 xml:space="preserve">In addition to the large number of children who experience short-term fam- </w:t>
      </w:r>
      <w:proofErr w:type="spellStart"/>
      <w:r w:rsidRPr="00B130EF">
        <w:rPr>
          <w:rFonts w:ascii="Times" w:hAnsi="Times" w:cs="Times"/>
          <w:color w:val="000000"/>
        </w:rPr>
        <w:t>ily</w:t>
      </w:r>
      <w:proofErr w:type="spellEnd"/>
      <w:r w:rsidRPr="00B130EF">
        <w:rPr>
          <w:rFonts w:ascii="Times" w:hAnsi="Times" w:cs="Times"/>
          <w:color w:val="000000"/>
        </w:rPr>
        <w:t xml:space="preserve"> separation during the immigration process, many family separations last for several years and, in some cases, even become permanent. The length of </w:t>
      </w:r>
      <w:proofErr w:type="spellStart"/>
      <w:r w:rsidRPr="00B130EF">
        <w:rPr>
          <w:rFonts w:ascii="Times" w:hAnsi="Times" w:cs="Times"/>
          <w:color w:val="000000"/>
        </w:rPr>
        <w:t>sepa</w:t>
      </w:r>
      <w:proofErr w:type="spellEnd"/>
      <w:r w:rsidRPr="00B130EF">
        <w:rPr>
          <w:rFonts w:ascii="Times" w:hAnsi="Times" w:cs="Times"/>
          <w:color w:val="000000"/>
        </w:rPr>
        <w:t xml:space="preserve">- ration during immigration has been found to vary by country of origin and between mothers and fathers (Patel et al., 2016). For example, Suarez-Orozco et al. (2002) found in one study that 77% of Mexican children who were </w:t>
      </w:r>
      <w:proofErr w:type="spellStart"/>
      <w:r w:rsidRPr="00B130EF">
        <w:rPr>
          <w:rFonts w:ascii="Times" w:hAnsi="Times" w:cs="Times"/>
          <w:color w:val="000000"/>
        </w:rPr>
        <w:t>sepa</w:t>
      </w:r>
      <w:proofErr w:type="spellEnd"/>
      <w:r w:rsidRPr="00B130EF">
        <w:rPr>
          <w:rFonts w:ascii="Times" w:hAnsi="Times" w:cs="Times"/>
          <w:color w:val="000000"/>
        </w:rPr>
        <w:t xml:space="preserve">- rated from their mothers during immigration were apart for a period of less than two years; in contrast, 49% of separated Central American immigrant children experienced maternal separation that lasted for five years or more. In general, Central American and some Caribbean immigrants have been found to suffer long periods of parent–child separation (Suarez-Orozco et al., 2008). The separation of immigrant children from their fathers has been found to last longer than separation from mothers. In addition to being separated from their parents, nearly one-third of immigrant children have reported being separated from siblings during immigration (Suarez-Orozco et al., 2002). Separation of siblings often occurs due to the fact that when parents are able to bring </w:t>
      </w:r>
      <w:proofErr w:type="spellStart"/>
      <w:r w:rsidRPr="00B130EF">
        <w:rPr>
          <w:rFonts w:ascii="Times" w:hAnsi="Times" w:cs="Times"/>
          <w:color w:val="000000"/>
        </w:rPr>
        <w:t>chil</w:t>
      </w:r>
      <w:proofErr w:type="spellEnd"/>
      <w:r w:rsidRPr="00B130EF">
        <w:rPr>
          <w:rFonts w:ascii="Times" w:hAnsi="Times" w:cs="Times"/>
          <w:color w:val="000000"/>
        </w:rPr>
        <w:t xml:space="preserve">- </w:t>
      </w:r>
      <w:proofErr w:type="spellStart"/>
      <w:r w:rsidRPr="00B130EF">
        <w:rPr>
          <w:rFonts w:ascii="Times" w:hAnsi="Times" w:cs="Times"/>
          <w:color w:val="000000"/>
        </w:rPr>
        <w:t>dren</w:t>
      </w:r>
      <w:proofErr w:type="spellEnd"/>
      <w:r w:rsidRPr="00B130EF">
        <w:rPr>
          <w:rFonts w:ascii="Times" w:hAnsi="Times" w:cs="Times"/>
          <w:color w:val="000000"/>
        </w:rPr>
        <w:t xml:space="preserve"> over to join them they are often brought one at a time (Suarez-Orozco et al., 2008). Thus, each time a sibling is brought over to be reunited with par- </w:t>
      </w:r>
      <w:proofErr w:type="spellStart"/>
      <w:r w:rsidRPr="00B130EF">
        <w:rPr>
          <w:rFonts w:ascii="Times" w:hAnsi="Times" w:cs="Times"/>
          <w:color w:val="000000"/>
        </w:rPr>
        <w:t>ents</w:t>
      </w:r>
      <w:proofErr w:type="spellEnd"/>
      <w:r w:rsidRPr="00B130EF">
        <w:rPr>
          <w:rFonts w:ascii="Times" w:hAnsi="Times" w:cs="Times"/>
          <w:color w:val="000000"/>
        </w:rPr>
        <w:t>, another family separation occurs as brothers and sisters are torn apart (</w:t>
      </w:r>
      <w:proofErr w:type="spellStart"/>
      <w:r w:rsidRPr="00B130EF">
        <w:rPr>
          <w:rFonts w:ascii="Times" w:hAnsi="Times" w:cs="Times"/>
          <w:color w:val="000000"/>
        </w:rPr>
        <w:t>Rusch</w:t>
      </w:r>
      <w:proofErr w:type="spellEnd"/>
      <w:r w:rsidRPr="00B130EF">
        <w:rPr>
          <w:rFonts w:ascii="Times" w:hAnsi="Times" w:cs="Times"/>
          <w:color w:val="000000"/>
        </w:rPr>
        <w:t xml:space="preserve"> &amp; Reyes, 2012). Sibling separation has also been reported as most com- mon among families from Central America and some parts of the Caribbean (Suarez-Orozco et al., 2002). More frequent and intense problems may develop the longer the periods of family separation </w:t>
      </w:r>
      <w:proofErr w:type="gramStart"/>
      <w:r w:rsidRPr="00B130EF">
        <w:rPr>
          <w:rFonts w:ascii="Times" w:hAnsi="Times" w:cs="Times"/>
          <w:color w:val="000000"/>
        </w:rPr>
        <w:t>extends</w:t>
      </w:r>
      <w:proofErr w:type="gramEnd"/>
      <w:r w:rsidRPr="00B130EF">
        <w:rPr>
          <w:rFonts w:ascii="Times" w:hAnsi="Times" w:cs="Times"/>
          <w:color w:val="000000"/>
        </w:rPr>
        <w:t xml:space="preserve"> (</w:t>
      </w:r>
      <w:proofErr w:type="spellStart"/>
      <w:r w:rsidRPr="00B130EF">
        <w:rPr>
          <w:rFonts w:ascii="Times" w:hAnsi="Times" w:cs="Times"/>
          <w:color w:val="000000"/>
        </w:rPr>
        <w:t>Gindling</w:t>
      </w:r>
      <w:proofErr w:type="spellEnd"/>
      <w:r w:rsidRPr="00B130EF">
        <w:rPr>
          <w:rFonts w:ascii="Times" w:hAnsi="Times" w:cs="Times"/>
          <w:color w:val="000000"/>
        </w:rPr>
        <w:t xml:space="preserve"> &amp; </w:t>
      </w:r>
      <w:proofErr w:type="spellStart"/>
      <w:r w:rsidRPr="00B130EF">
        <w:rPr>
          <w:rFonts w:ascii="Times" w:hAnsi="Times" w:cs="Times"/>
          <w:color w:val="000000"/>
        </w:rPr>
        <w:t>Poggio</w:t>
      </w:r>
      <w:proofErr w:type="spellEnd"/>
      <w:r w:rsidRPr="00B130EF">
        <w:rPr>
          <w:rFonts w:ascii="Times" w:hAnsi="Times" w:cs="Times"/>
          <w:color w:val="000000"/>
        </w:rPr>
        <w:t xml:space="preserve">, 2012). </w:t>
      </w:r>
    </w:p>
    <w:p w14:paraId="68B14A9B"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 xml:space="preserve">The Impact of Family Separation on Children and Their Parents </w:t>
      </w:r>
    </w:p>
    <w:p w14:paraId="74881E3B"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 xml:space="preserve">Among the challenges immigrants face are language barriers, learning a new culture, low wages, fear of deportation, and limited social support systems. However, being separated from one’s family is often the most difficult part of </w:t>
      </w:r>
    </w:p>
    <w:p w14:paraId="24FCBC4A"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b/>
          <w:bCs/>
          <w:color w:val="000000"/>
        </w:rPr>
        <w:t xml:space="preserve">216 </w:t>
      </w:r>
    </w:p>
    <w:p w14:paraId="0ED02A4B"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 xml:space="preserve">immigration to the United States (Suarez-Orozco et al., 2011). Immigrant par- </w:t>
      </w:r>
      <w:proofErr w:type="spellStart"/>
      <w:r w:rsidRPr="00B130EF">
        <w:rPr>
          <w:rFonts w:ascii="Times" w:hAnsi="Times" w:cs="Times"/>
          <w:color w:val="000000"/>
        </w:rPr>
        <w:t>ents</w:t>
      </w:r>
      <w:proofErr w:type="spellEnd"/>
      <w:r w:rsidRPr="00B130EF">
        <w:rPr>
          <w:rFonts w:ascii="Times" w:hAnsi="Times" w:cs="Times"/>
          <w:color w:val="000000"/>
        </w:rPr>
        <w:t xml:space="preserve"> often attempt to maintain contact with their children from afar through regular phone calls; the exchange of letters; monetary remittances; the send- </w:t>
      </w:r>
      <w:proofErr w:type="spellStart"/>
      <w:r w:rsidRPr="00B130EF">
        <w:rPr>
          <w:rFonts w:ascii="Times" w:hAnsi="Times" w:cs="Times"/>
          <w:color w:val="000000"/>
        </w:rPr>
        <w:t>ing</w:t>
      </w:r>
      <w:proofErr w:type="spellEnd"/>
      <w:r w:rsidRPr="00B130EF">
        <w:rPr>
          <w:rFonts w:ascii="Times" w:hAnsi="Times" w:cs="Times"/>
          <w:color w:val="000000"/>
        </w:rPr>
        <w:t xml:space="preserve"> of gifts, photographs, and videos; social media and videoconferencing; as well as occasional visits home when possible due to finances and legal </w:t>
      </w:r>
      <w:proofErr w:type="spellStart"/>
      <w:r w:rsidRPr="00B130EF">
        <w:rPr>
          <w:rFonts w:ascii="Times" w:hAnsi="Times" w:cs="Times"/>
          <w:color w:val="000000"/>
        </w:rPr>
        <w:t>sta</w:t>
      </w:r>
      <w:proofErr w:type="spellEnd"/>
      <w:r w:rsidRPr="00B130EF">
        <w:rPr>
          <w:rFonts w:ascii="Times" w:hAnsi="Times" w:cs="Times"/>
          <w:color w:val="000000"/>
        </w:rPr>
        <w:t xml:space="preserve">- </w:t>
      </w:r>
      <w:proofErr w:type="spellStart"/>
      <w:r w:rsidRPr="00B130EF">
        <w:rPr>
          <w:rFonts w:ascii="Times" w:hAnsi="Times" w:cs="Times"/>
          <w:color w:val="000000"/>
        </w:rPr>
        <w:t>tus</w:t>
      </w:r>
      <w:proofErr w:type="spellEnd"/>
      <w:r w:rsidRPr="00B130EF">
        <w:rPr>
          <w:rFonts w:ascii="Times" w:hAnsi="Times" w:cs="Times"/>
          <w:color w:val="000000"/>
        </w:rPr>
        <w:t xml:space="preserve"> (</w:t>
      </w:r>
      <w:proofErr w:type="spellStart"/>
      <w:r w:rsidRPr="00B130EF">
        <w:rPr>
          <w:rFonts w:ascii="Times" w:hAnsi="Times" w:cs="Times"/>
          <w:color w:val="000000"/>
        </w:rPr>
        <w:t>Abrego</w:t>
      </w:r>
      <w:proofErr w:type="spellEnd"/>
      <w:r w:rsidRPr="00B130EF">
        <w:rPr>
          <w:rFonts w:ascii="Times" w:hAnsi="Times" w:cs="Times"/>
          <w:color w:val="000000"/>
        </w:rPr>
        <w:t xml:space="preserve">, 2009; Suarez-Orozco et al., 2008). By maintaining contact with their children in their native countries, parents try to keep their memories alive and provide support to their children despite their physical absence in the daily lives of their children. Notwithstanding parents’ attempts to relieve the stress upon their children due to their absence, children who are </w:t>
      </w:r>
      <w:proofErr w:type="spellStart"/>
      <w:r w:rsidRPr="00B130EF">
        <w:rPr>
          <w:rFonts w:ascii="Times" w:hAnsi="Times" w:cs="Times"/>
          <w:color w:val="000000"/>
        </w:rPr>
        <w:t>separat</w:t>
      </w:r>
      <w:proofErr w:type="spellEnd"/>
      <w:r w:rsidRPr="00B130EF">
        <w:rPr>
          <w:rFonts w:ascii="Times" w:hAnsi="Times" w:cs="Times"/>
          <w:color w:val="000000"/>
        </w:rPr>
        <w:t xml:space="preserve">- </w:t>
      </w:r>
      <w:proofErr w:type="spellStart"/>
      <w:r w:rsidRPr="00B130EF">
        <w:rPr>
          <w:rFonts w:ascii="Times" w:hAnsi="Times" w:cs="Times"/>
          <w:color w:val="000000"/>
        </w:rPr>
        <w:t>ed</w:t>
      </w:r>
      <w:proofErr w:type="spellEnd"/>
      <w:r w:rsidRPr="00B130EF">
        <w:rPr>
          <w:rFonts w:ascii="Times" w:hAnsi="Times" w:cs="Times"/>
          <w:color w:val="000000"/>
        </w:rPr>
        <w:t xml:space="preserve"> from their </w:t>
      </w:r>
      <w:proofErr w:type="gramStart"/>
      <w:r w:rsidRPr="00B130EF">
        <w:rPr>
          <w:rFonts w:ascii="Times" w:hAnsi="Times" w:cs="Times"/>
          <w:color w:val="000000"/>
        </w:rPr>
        <w:t>parents</w:t>
      </w:r>
      <w:proofErr w:type="gramEnd"/>
      <w:r w:rsidRPr="00B130EF">
        <w:rPr>
          <w:rFonts w:ascii="Times" w:hAnsi="Times" w:cs="Times"/>
          <w:color w:val="000000"/>
        </w:rPr>
        <w:t xml:space="preserve"> due to immigration are often susceptible to attachment difficulties, depression, decreased academic performance, and behavioral </w:t>
      </w:r>
      <w:proofErr w:type="spellStart"/>
      <w:r w:rsidRPr="00B130EF">
        <w:rPr>
          <w:rFonts w:ascii="Times" w:hAnsi="Times" w:cs="Times"/>
          <w:color w:val="000000"/>
        </w:rPr>
        <w:t>prob</w:t>
      </w:r>
      <w:proofErr w:type="spellEnd"/>
      <w:r w:rsidRPr="00B130EF">
        <w:rPr>
          <w:rFonts w:ascii="Times" w:hAnsi="Times" w:cs="Times"/>
          <w:color w:val="000000"/>
        </w:rPr>
        <w:t xml:space="preserve">- </w:t>
      </w:r>
      <w:proofErr w:type="spellStart"/>
      <w:r w:rsidRPr="00B130EF">
        <w:rPr>
          <w:rFonts w:ascii="Times" w:hAnsi="Times" w:cs="Times"/>
          <w:color w:val="000000"/>
        </w:rPr>
        <w:t>lems</w:t>
      </w:r>
      <w:proofErr w:type="spellEnd"/>
      <w:r w:rsidRPr="00B130EF">
        <w:rPr>
          <w:rFonts w:ascii="Times" w:hAnsi="Times" w:cs="Times"/>
          <w:color w:val="000000"/>
        </w:rPr>
        <w:t xml:space="preserve"> (</w:t>
      </w:r>
      <w:proofErr w:type="spellStart"/>
      <w:r w:rsidRPr="00B130EF">
        <w:rPr>
          <w:rFonts w:ascii="Times" w:hAnsi="Times" w:cs="Times"/>
          <w:color w:val="000000"/>
        </w:rPr>
        <w:t>Abrego</w:t>
      </w:r>
      <w:proofErr w:type="spellEnd"/>
      <w:r w:rsidRPr="00B130EF">
        <w:rPr>
          <w:rFonts w:ascii="Times" w:hAnsi="Times" w:cs="Times"/>
          <w:color w:val="000000"/>
        </w:rPr>
        <w:t xml:space="preserve">, 2014; </w:t>
      </w:r>
      <w:proofErr w:type="spellStart"/>
      <w:r w:rsidRPr="00B130EF">
        <w:rPr>
          <w:rFonts w:ascii="Times" w:hAnsi="Times" w:cs="Times"/>
          <w:color w:val="000000"/>
        </w:rPr>
        <w:t>Artico</w:t>
      </w:r>
      <w:proofErr w:type="spellEnd"/>
      <w:r w:rsidRPr="00B130EF">
        <w:rPr>
          <w:rFonts w:ascii="Times" w:hAnsi="Times" w:cs="Times"/>
          <w:color w:val="000000"/>
        </w:rPr>
        <w:t>, 2003; Lovato-Hermann, 2017). As length of time apart increases, children become more withdrawn and less likely to identify with their parents. Longer periods of separation are also often associated with an unwillingness of children to conform to rules put in place by the parent (Suarez-Orozco et al., 2011). One study found that delinquent behavior, such as alcohol and drug abuse, was not an uncommon coping skill among older children with prolonged family separations (</w:t>
      </w:r>
      <w:proofErr w:type="spellStart"/>
      <w:r w:rsidRPr="00B130EF">
        <w:rPr>
          <w:rFonts w:ascii="Times" w:hAnsi="Times" w:cs="Times"/>
          <w:color w:val="000000"/>
        </w:rPr>
        <w:t>Abrego</w:t>
      </w:r>
      <w:proofErr w:type="spellEnd"/>
      <w:r w:rsidRPr="00B130EF">
        <w:rPr>
          <w:rFonts w:ascii="Times" w:hAnsi="Times" w:cs="Times"/>
          <w:color w:val="000000"/>
        </w:rPr>
        <w:t xml:space="preserve">, 2014). </w:t>
      </w:r>
    </w:p>
    <w:p w14:paraId="62F336B1"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 xml:space="preserve">The Impact of Family Separation on Academic Success </w:t>
      </w:r>
    </w:p>
    <w:p w14:paraId="27860E07"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In addition to the psychological and emotional toll of separation, negative effects have also been found on the educational success of immigrant children separated from their parents during immigration (</w:t>
      </w:r>
      <w:proofErr w:type="spellStart"/>
      <w:r w:rsidRPr="00B130EF">
        <w:rPr>
          <w:rFonts w:ascii="Times" w:hAnsi="Times" w:cs="Times"/>
          <w:color w:val="000000"/>
        </w:rPr>
        <w:t>Dreby</w:t>
      </w:r>
      <w:proofErr w:type="spellEnd"/>
      <w:r w:rsidRPr="00B130EF">
        <w:rPr>
          <w:rFonts w:ascii="Times" w:hAnsi="Times" w:cs="Times"/>
          <w:color w:val="000000"/>
        </w:rPr>
        <w:t xml:space="preserve">, 2007, 2015; Gin- </w:t>
      </w:r>
      <w:proofErr w:type="spellStart"/>
      <w:r w:rsidRPr="00B130EF">
        <w:rPr>
          <w:rFonts w:ascii="Times" w:hAnsi="Times" w:cs="Times"/>
          <w:color w:val="000000"/>
        </w:rPr>
        <w:t>dling</w:t>
      </w:r>
      <w:proofErr w:type="spellEnd"/>
      <w:r w:rsidRPr="00B130EF">
        <w:rPr>
          <w:rFonts w:ascii="Times" w:hAnsi="Times" w:cs="Times"/>
          <w:color w:val="000000"/>
        </w:rPr>
        <w:t xml:space="preserve"> &amp; </w:t>
      </w:r>
      <w:proofErr w:type="spellStart"/>
      <w:r w:rsidRPr="00B130EF">
        <w:rPr>
          <w:rFonts w:ascii="Times" w:hAnsi="Times" w:cs="Times"/>
          <w:color w:val="000000"/>
        </w:rPr>
        <w:t>Poggio</w:t>
      </w:r>
      <w:proofErr w:type="spellEnd"/>
      <w:r w:rsidRPr="00B130EF">
        <w:rPr>
          <w:rFonts w:ascii="Times" w:hAnsi="Times" w:cs="Times"/>
          <w:color w:val="000000"/>
        </w:rPr>
        <w:t>, 2012; Lovato-Hermann, 2017). Although many immigrant children succeed in school, those who have been separated from their parents tend to struggle academically when compared to their peers who were able to immigrate with intact families (</w:t>
      </w:r>
      <w:proofErr w:type="spellStart"/>
      <w:r w:rsidRPr="00B130EF">
        <w:rPr>
          <w:rFonts w:ascii="Times" w:hAnsi="Times" w:cs="Times"/>
          <w:color w:val="000000"/>
        </w:rPr>
        <w:t>Dreby</w:t>
      </w:r>
      <w:proofErr w:type="spellEnd"/>
      <w:r w:rsidRPr="00B130EF">
        <w:rPr>
          <w:rFonts w:ascii="Times" w:hAnsi="Times" w:cs="Times"/>
          <w:color w:val="000000"/>
        </w:rPr>
        <w:t xml:space="preserve">, 2015; </w:t>
      </w:r>
      <w:proofErr w:type="spellStart"/>
      <w:r w:rsidRPr="00B130EF">
        <w:rPr>
          <w:rFonts w:ascii="Times" w:hAnsi="Times" w:cs="Times"/>
          <w:color w:val="000000"/>
        </w:rPr>
        <w:t>Gindling</w:t>
      </w:r>
      <w:proofErr w:type="spellEnd"/>
      <w:r w:rsidRPr="00B130EF">
        <w:rPr>
          <w:rFonts w:ascii="Times" w:hAnsi="Times" w:cs="Times"/>
          <w:color w:val="000000"/>
        </w:rPr>
        <w:t xml:space="preserve"> &amp; </w:t>
      </w:r>
      <w:proofErr w:type="spellStart"/>
      <w:r w:rsidRPr="00B130EF">
        <w:rPr>
          <w:rFonts w:ascii="Times" w:hAnsi="Times" w:cs="Times"/>
          <w:color w:val="000000"/>
        </w:rPr>
        <w:t>Poggio</w:t>
      </w:r>
      <w:proofErr w:type="spellEnd"/>
      <w:r w:rsidRPr="00B130EF">
        <w:rPr>
          <w:rFonts w:ascii="Times" w:hAnsi="Times" w:cs="Times"/>
          <w:color w:val="000000"/>
        </w:rPr>
        <w:t xml:space="preserve">, 2012). </w:t>
      </w:r>
      <w:proofErr w:type="spellStart"/>
      <w:r w:rsidRPr="00B130EF">
        <w:rPr>
          <w:rFonts w:ascii="Times" w:hAnsi="Times" w:cs="Times"/>
          <w:color w:val="000000"/>
        </w:rPr>
        <w:t>Im</w:t>
      </w:r>
      <w:proofErr w:type="spellEnd"/>
      <w:r w:rsidRPr="00B130EF">
        <w:rPr>
          <w:rFonts w:ascii="Times" w:hAnsi="Times" w:cs="Times"/>
          <w:color w:val="000000"/>
        </w:rPr>
        <w:t>- migrant children who are separated from their families are more likely to be behind their same age peers in school, creating an “education gap” in which such students are more likely to be older than others in their grade (</w:t>
      </w:r>
      <w:proofErr w:type="spellStart"/>
      <w:r w:rsidRPr="00B130EF">
        <w:rPr>
          <w:rFonts w:ascii="Times" w:hAnsi="Times" w:cs="Times"/>
          <w:color w:val="000000"/>
        </w:rPr>
        <w:t>Gindling</w:t>
      </w:r>
      <w:proofErr w:type="spellEnd"/>
      <w:r w:rsidRPr="00B130EF">
        <w:rPr>
          <w:rFonts w:ascii="Times" w:hAnsi="Times" w:cs="Times"/>
          <w:color w:val="000000"/>
        </w:rPr>
        <w:t xml:space="preserve"> &amp; </w:t>
      </w:r>
      <w:proofErr w:type="spellStart"/>
      <w:r w:rsidRPr="00B130EF">
        <w:rPr>
          <w:rFonts w:ascii="Times" w:hAnsi="Times" w:cs="Times"/>
          <w:color w:val="000000"/>
        </w:rPr>
        <w:t>Poggio</w:t>
      </w:r>
      <w:proofErr w:type="spellEnd"/>
      <w:r w:rsidRPr="00B130EF">
        <w:rPr>
          <w:rFonts w:ascii="Times" w:hAnsi="Times" w:cs="Times"/>
          <w:color w:val="000000"/>
        </w:rPr>
        <w:t>, 2012; Patel et al., 2016). Due to the lack of academic preparation and interruptions in their schooling, in many cases, children who experienced family separation have needed to repeat a grade (</w:t>
      </w:r>
      <w:proofErr w:type="spellStart"/>
      <w:r w:rsidRPr="00B130EF">
        <w:rPr>
          <w:rFonts w:ascii="Times" w:hAnsi="Times" w:cs="Times"/>
          <w:color w:val="000000"/>
        </w:rPr>
        <w:t>Gindling</w:t>
      </w:r>
      <w:proofErr w:type="spellEnd"/>
      <w:r w:rsidRPr="00B130EF">
        <w:rPr>
          <w:rFonts w:ascii="Times" w:hAnsi="Times" w:cs="Times"/>
          <w:color w:val="000000"/>
        </w:rPr>
        <w:t xml:space="preserve"> &amp; </w:t>
      </w:r>
      <w:proofErr w:type="spellStart"/>
      <w:r w:rsidRPr="00B130EF">
        <w:rPr>
          <w:rFonts w:ascii="Times" w:hAnsi="Times" w:cs="Times"/>
          <w:color w:val="000000"/>
        </w:rPr>
        <w:t>Poggio</w:t>
      </w:r>
      <w:proofErr w:type="spellEnd"/>
      <w:r w:rsidRPr="00B130EF">
        <w:rPr>
          <w:rFonts w:ascii="Times" w:hAnsi="Times" w:cs="Times"/>
          <w:color w:val="000000"/>
        </w:rPr>
        <w:t xml:space="preserve">, 2012). Grade repetition has been found to have a lasting negative psychological </w:t>
      </w:r>
      <w:proofErr w:type="spellStart"/>
      <w:r w:rsidRPr="00B130EF">
        <w:rPr>
          <w:rFonts w:ascii="Times" w:hAnsi="Times" w:cs="Times"/>
          <w:color w:val="000000"/>
        </w:rPr>
        <w:t>im</w:t>
      </w:r>
      <w:proofErr w:type="spellEnd"/>
      <w:r w:rsidRPr="00B130EF">
        <w:rPr>
          <w:rFonts w:ascii="Times" w:hAnsi="Times" w:cs="Times"/>
          <w:color w:val="000000"/>
        </w:rPr>
        <w:t xml:space="preserve">- pact on students (Stearns, Moller, </w:t>
      </w:r>
      <w:proofErr w:type="spellStart"/>
      <w:r w:rsidRPr="00B130EF">
        <w:rPr>
          <w:rFonts w:ascii="Times" w:hAnsi="Times" w:cs="Times"/>
          <w:color w:val="000000"/>
        </w:rPr>
        <w:t>Blau</w:t>
      </w:r>
      <w:proofErr w:type="spellEnd"/>
      <w:r w:rsidRPr="00B130EF">
        <w:rPr>
          <w:rFonts w:ascii="Times" w:hAnsi="Times" w:cs="Times"/>
          <w:color w:val="000000"/>
        </w:rPr>
        <w:t xml:space="preserve">, &amp; </w:t>
      </w:r>
      <w:proofErr w:type="spellStart"/>
      <w:r w:rsidRPr="00B130EF">
        <w:rPr>
          <w:rFonts w:ascii="Times" w:hAnsi="Times" w:cs="Times"/>
          <w:color w:val="000000"/>
        </w:rPr>
        <w:t>Potochnick</w:t>
      </w:r>
      <w:proofErr w:type="spellEnd"/>
      <w:r w:rsidRPr="00B130EF">
        <w:rPr>
          <w:rFonts w:ascii="Times" w:hAnsi="Times" w:cs="Times"/>
          <w:color w:val="000000"/>
        </w:rPr>
        <w:t>, 2007). In addition, children who experience family separation are more likely to fall behind (and may even drop out of school) than those children who immigrate with intact families (</w:t>
      </w:r>
      <w:proofErr w:type="spellStart"/>
      <w:r w:rsidRPr="00B130EF">
        <w:rPr>
          <w:rFonts w:ascii="Times" w:hAnsi="Times" w:cs="Times"/>
          <w:color w:val="000000"/>
        </w:rPr>
        <w:t>Dreby</w:t>
      </w:r>
      <w:proofErr w:type="spellEnd"/>
      <w:r w:rsidRPr="00B130EF">
        <w:rPr>
          <w:rFonts w:ascii="Times" w:hAnsi="Times" w:cs="Times"/>
          <w:color w:val="000000"/>
        </w:rPr>
        <w:t xml:space="preserve">, 2007, 2010; Patel et al., 2016). In keeping with findings re- </w:t>
      </w:r>
      <w:proofErr w:type="spellStart"/>
      <w:r w:rsidRPr="00B130EF">
        <w:rPr>
          <w:rFonts w:ascii="Times" w:hAnsi="Times" w:cs="Times"/>
          <w:color w:val="000000"/>
        </w:rPr>
        <w:t>garding</w:t>
      </w:r>
      <w:proofErr w:type="spellEnd"/>
      <w:r w:rsidRPr="00B130EF">
        <w:rPr>
          <w:rFonts w:ascii="Times" w:hAnsi="Times" w:cs="Times"/>
          <w:color w:val="000000"/>
        </w:rPr>
        <w:t xml:space="preserve"> emotional stress, children who are separated from their mothers may </w:t>
      </w:r>
    </w:p>
    <w:p w14:paraId="5CD4E155"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b/>
          <w:bCs/>
          <w:color w:val="000000"/>
        </w:rPr>
        <w:t xml:space="preserve">LATINO FAMILY SEPARATION </w:t>
      </w:r>
    </w:p>
    <w:p w14:paraId="6DD55BF5"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b/>
          <w:bCs/>
          <w:color w:val="000000"/>
        </w:rPr>
        <w:t xml:space="preserve">217 </w:t>
      </w:r>
    </w:p>
    <w:p w14:paraId="2D35BD4B"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b/>
          <w:bCs/>
          <w:color w:val="000000"/>
        </w:rPr>
        <w:t xml:space="preserve">SCHOOL COMMUNITY JOURNAL </w:t>
      </w:r>
    </w:p>
    <w:p w14:paraId="01ABA052"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have lower academic performance than those separated from their fathers (</w:t>
      </w:r>
      <w:proofErr w:type="spellStart"/>
      <w:r w:rsidRPr="00B130EF">
        <w:rPr>
          <w:rFonts w:ascii="Times" w:hAnsi="Times" w:cs="Times"/>
          <w:color w:val="000000"/>
        </w:rPr>
        <w:t>Gindling</w:t>
      </w:r>
      <w:proofErr w:type="spellEnd"/>
      <w:r w:rsidRPr="00B130EF">
        <w:rPr>
          <w:rFonts w:ascii="Times" w:hAnsi="Times" w:cs="Times"/>
          <w:color w:val="000000"/>
        </w:rPr>
        <w:t xml:space="preserve"> &amp; </w:t>
      </w:r>
      <w:proofErr w:type="spellStart"/>
      <w:r w:rsidRPr="00B130EF">
        <w:rPr>
          <w:rFonts w:ascii="Times" w:hAnsi="Times" w:cs="Times"/>
          <w:color w:val="000000"/>
        </w:rPr>
        <w:t>Poggio</w:t>
      </w:r>
      <w:proofErr w:type="spellEnd"/>
      <w:r w:rsidRPr="00B130EF">
        <w:rPr>
          <w:rFonts w:ascii="Times" w:hAnsi="Times" w:cs="Times"/>
          <w:color w:val="000000"/>
        </w:rPr>
        <w:t>, 2012; Patel et al., 2016). Negative school effects have also been found to be more severe for children whose parents have lived in the U.S. with undocumented status (</w:t>
      </w:r>
      <w:proofErr w:type="spellStart"/>
      <w:r w:rsidRPr="00B130EF">
        <w:rPr>
          <w:rFonts w:ascii="Times" w:hAnsi="Times" w:cs="Times"/>
          <w:color w:val="000000"/>
        </w:rPr>
        <w:t>Gindling</w:t>
      </w:r>
      <w:proofErr w:type="spellEnd"/>
      <w:r w:rsidRPr="00B130EF">
        <w:rPr>
          <w:rFonts w:ascii="Times" w:hAnsi="Times" w:cs="Times"/>
          <w:color w:val="000000"/>
        </w:rPr>
        <w:t xml:space="preserve"> &amp; </w:t>
      </w:r>
      <w:proofErr w:type="spellStart"/>
      <w:r w:rsidRPr="00B130EF">
        <w:rPr>
          <w:rFonts w:ascii="Times" w:hAnsi="Times" w:cs="Times"/>
          <w:color w:val="000000"/>
        </w:rPr>
        <w:t>Poggio</w:t>
      </w:r>
      <w:proofErr w:type="spellEnd"/>
      <w:r w:rsidRPr="00B130EF">
        <w:rPr>
          <w:rFonts w:ascii="Times" w:hAnsi="Times" w:cs="Times"/>
          <w:color w:val="000000"/>
        </w:rPr>
        <w:t xml:space="preserve">, 2012). The age of children during separation seems to be crucial when it comes to the educational impact it has on students. In general, older students who are separated from their par- </w:t>
      </w:r>
      <w:proofErr w:type="spellStart"/>
      <w:r w:rsidRPr="00B130EF">
        <w:rPr>
          <w:rFonts w:ascii="Times" w:hAnsi="Times" w:cs="Times"/>
          <w:color w:val="000000"/>
        </w:rPr>
        <w:t>ents</w:t>
      </w:r>
      <w:proofErr w:type="spellEnd"/>
      <w:r w:rsidRPr="00B130EF">
        <w:rPr>
          <w:rFonts w:ascii="Times" w:hAnsi="Times" w:cs="Times"/>
          <w:color w:val="000000"/>
        </w:rPr>
        <w:t xml:space="preserve"> during immigration tend to suffer greater negative effects than do younger children (</w:t>
      </w:r>
      <w:proofErr w:type="spellStart"/>
      <w:r w:rsidRPr="00B130EF">
        <w:rPr>
          <w:rFonts w:ascii="Times" w:hAnsi="Times" w:cs="Times"/>
          <w:color w:val="000000"/>
        </w:rPr>
        <w:t>Abrego</w:t>
      </w:r>
      <w:proofErr w:type="spellEnd"/>
      <w:r w:rsidRPr="00B130EF">
        <w:rPr>
          <w:rFonts w:ascii="Times" w:hAnsi="Times" w:cs="Times"/>
          <w:color w:val="000000"/>
        </w:rPr>
        <w:t xml:space="preserve">, 2014; </w:t>
      </w:r>
      <w:proofErr w:type="spellStart"/>
      <w:r w:rsidRPr="00B130EF">
        <w:rPr>
          <w:rFonts w:ascii="Times" w:hAnsi="Times" w:cs="Times"/>
          <w:color w:val="000000"/>
        </w:rPr>
        <w:t>Artico</w:t>
      </w:r>
      <w:proofErr w:type="spellEnd"/>
      <w:r w:rsidRPr="00B130EF">
        <w:rPr>
          <w:rFonts w:ascii="Times" w:hAnsi="Times" w:cs="Times"/>
          <w:color w:val="000000"/>
        </w:rPr>
        <w:t>, 2003; Patel et al., 2016; Schapiro et al., 2013). The largest negative educational impact has been found among those students who were separated from their parents at older ages (late childhood to early adolescence) and were reunited as teenagers (</w:t>
      </w:r>
      <w:proofErr w:type="spellStart"/>
      <w:r w:rsidRPr="00B130EF">
        <w:rPr>
          <w:rFonts w:ascii="Times" w:hAnsi="Times" w:cs="Times"/>
          <w:color w:val="000000"/>
        </w:rPr>
        <w:t>Gindling</w:t>
      </w:r>
      <w:proofErr w:type="spellEnd"/>
      <w:r w:rsidRPr="00B130EF">
        <w:rPr>
          <w:rFonts w:ascii="Times" w:hAnsi="Times" w:cs="Times"/>
          <w:color w:val="000000"/>
        </w:rPr>
        <w:t xml:space="preserve"> &amp; </w:t>
      </w:r>
      <w:proofErr w:type="spellStart"/>
      <w:r w:rsidRPr="00B130EF">
        <w:rPr>
          <w:rFonts w:ascii="Times" w:hAnsi="Times" w:cs="Times"/>
          <w:color w:val="000000"/>
        </w:rPr>
        <w:t>Poggio</w:t>
      </w:r>
      <w:proofErr w:type="spellEnd"/>
      <w:r w:rsidRPr="00B130EF">
        <w:rPr>
          <w:rFonts w:ascii="Times" w:hAnsi="Times" w:cs="Times"/>
          <w:color w:val="000000"/>
        </w:rPr>
        <w:t xml:space="preserve">, 2012). </w:t>
      </w:r>
    </w:p>
    <w:p w14:paraId="30321480"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 xml:space="preserve">Family Reunification: Not Always Happily Ever After </w:t>
      </w:r>
    </w:p>
    <w:p w14:paraId="0C493A83"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 xml:space="preserve">Despite the difficulties of separation, the challenges of reunification are of- ten even more difficult. During separation, parents and children often long for the day when they will be reunited with one another and dream of liv- </w:t>
      </w:r>
      <w:proofErr w:type="spellStart"/>
      <w:r w:rsidRPr="00B130EF">
        <w:rPr>
          <w:rFonts w:ascii="Times" w:hAnsi="Times" w:cs="Times"/>
          <w:color w:val="000000"/>
        </w:rPr>
        <w:t>ing</w:t>
      </w:r>
      <w:proofErr w:type="spellEnd"/>
      <w:r w:rsidRPr="00B130EF">
        <w:rPr>
          <w:rFonts w:ascii="Times" w:hAnsi="Times" w:cs="Times"/>
          <w:color w:val="000000"/>
        </w:rPr>
        <w:t xml:space="preserve"> happily ever after. However, families face a variety of challenges that often complicate the reunion. Because of the length of most family separations, many children find themselves reunited with parents who have become </w:t>
      </w:r>
      <w:proofErr w:type="spellStart"/>
      <w:r w:rsidRPr="00B130EF">
        <w:rPr>
          <w:rFonts w:ascii="Times" w:hAnsi="Times" w:cs="Times"/>
          <w:color w:val="000000"/>
        </w:rPr>
        <w:t>strang</w:t>
      </w:r>
      <w:proofErr w:type="spellEnd"/>
      <w:r w:rsidRPr="00B130EF">
        <w:rPr>
          <w:rFonts w:ascii="Times" w:hAnsi="Times" w:cs="Times"/>
          <w:color w:val="000000"/>
        </w:rPr>
        <w:t xml:space="preserve">- </w:t>
      </w:r>
      <w:proofErr w:type="spellStart"/>
      <w:r w:rsidRPr="00B130EF">
        <w:rPr>
          <w:rFonts w:ascii="Times" w:hAnsi="Times" w:cs="Times"/>
          <w:color w:val="000000"/>
        </w:rPr>
        <w:t>ers</w:t>
      </w:r>
      <w:proofErr w:type="spellEnd"/>
      <w:r w:rsidRPr="00B130EF">
        <w:rPr>
          <w:rFonts w:ascii="Times" w:hAnsi="Times" w:cs="Times"/>
          <w:color w:val="000000"/>
        </w:rPr>
        <w:t xml:space="preserve"> to them (Lovato-Hermann, 2017; Schapiro et al., 2013; Suarez-Orozco et al., 2002). In some instances, children do not even recognize their parents and must deal with building a relationship with a near stranger. Feelings of </w:t>
      </w:r>
      <w:proofErr w:type="spellStart"/>
      <w:r w:rsidRPr="00B130EF">
        <w:rPr>
          <w:rFonts w:ascii="Times" w:hAnsi="Times" w:cs="Times"/>
          <w:color w:val="000000"/>
        </w:rPr>
        <w:t>aban</w:t>
      </w:r>
      <w:proofErr w:type="spellEnd"/>
      <w:r w:rsidRPr="00B130EF">
        <w:rPr>
          <w:rFonts w:ascii="Times" w:hAnsi="Times" w:cs="Times"/>
          <w:color w:val="000000"/>
        </w:rPr>
        <w:t xml:space="preserve">- </w:t>
      </w:r>
      <w:proofErr w:type="spellStart"/>
      <w:r w:rsidRPr="00B130EF">
        <w:rPr>
          <w:rFonts w:ascii="Times" w:hAnsi="Times" w:cs="Times"/>
          <w:color w:val="000000"/>
        </w:rPr>
        <w:t>donment</w:t>
      </w:r>
      <w:proofErr w:type="spellEnd"/>
      <w:r w:rsidRPr="00B130EF">
        <w:rPr>
          <w:rFonts w:ascii="Times" w:hAnsi="Times" w:cs="Times"/>
          <w:color w:val="000000"/>
        </w:rPr>
        <w:t xml:space="preserve"> and rejection are common among children whose parents have left them for prolonged periods of time (</w:t>
      </w:r>
      <w:proofErr w:type="spellStart"/>
      <w:r w:rsidRPr="00B130EF">
        <w:rPr>
          <w:rFonts w:ascii="Times" w:hAnsi="Times" w:cs="Times"/>
          <w:color w:val="000000"/>
        </w:rPr>
        <w:t>Dreby</w:t>
      </w:r>
      <w:proofErr w:type="spellEnd"/>
      <w:r w:rsidRPr="00B130EF">
        <w:rPr>
          <w:rFonts w:ascii="Times" w:hAnsi="Times" w:cs="Times"/>
          <w:color w:val="000000"/>
        </w:rPr>
        <w:t xml:space="preserve">, 2015; </w:t>
      </w:r>
      <w:proofErr w:type="spellStart"/>
      <w:r w:rsidRPr="00B130EF">
        <w:rPr>
          <w:rFonts w:ascii="Times" w:hAnsi="Times" w:cs="Times"/>
          <w:color w:val="000000"/>
        </w:rPr>
        <w:t>Rusch</w:t>
      </w:r>
      <w:proofErr w:type="spellEnd"/>
      <w:r w:rsidRPr="00B130EF">
        <w:rPr>
          <w:rFonts w:ascii="Times" w:hAnsi="Times" w:cs="Times"/>
          <w:color w:val="000000"/>
        </w:rPr>
        <w:t xml:space="preserve"> &amp; Reyes, 2012; Su- </w:t>
      </w:r>
      <w:proofErr w:type="spellStart"/>
      <w:r w:rsidRPr="00B130EF">
        <w:rPr>
          <w:rFonts w:ascii="Times" w:hAnsi="Times" w:cs="Times"/>
          <w:color w:val="000000"/>
        </w:rPr>
        <w:t>arez</w:t>
      </w:r>
      <w:proofErr w:type="spellEnd"/>
      <w:r w:rsidRPr="00B130EF">
        <w:rPr>
          <w:rFonts w:ascii="Times" w:hAnsi="Times" w:cs="Times"/>
          <w:color w:val="000000"/>
        </w:rPr>
        <w:t xml:space="preserve">-Orozco et al., 2011). Parents also often struggle to regain their authority as they face children who seem unappreciative of the financial and emotional sacrifices they have made for those children. Younger children may become withdrawn from their parents, while older children may rebel against their parents’ authority or act out aggressively. Another challenge that can </w:t>
      </w:r>
      <w:proofErr w:type="spellStart"/>
      <w:r w:rsidRPr="00B130EF">
        <w:rPr>
          <w:rFonts w:ascii="Times" w:hAnsi="Times" w:cs="Times"/>
          <w:color w:val="000000"/>
        </w:rPr>
        <w:t>compli</w:t>
      </w:r>
      <w:proofErr w:type="spellEnd"/>
      <w:r w:rsidRPr="00B130EF">
        <w:rPr>
          <w:rFonts w:ascii="Times" w:hAnsi="Times" w:cs="Times"/>
          <w:color w:val="000000"/>
        </w:rPr>
        <w:t>- cate family reunifications is the presence of new stepparents, stepsiblings, and siblings in some immigrant families (Lovato-Hermann, 2017; Suarez-Orozco et al., 2011). Children can face feelings of jealousy at the attention given to their new siblings and family members that they were deprived of during their parents’ absence (</w:t>
      </w:r>
      <w:proofErr w:type="spellStart"/>
      <w:r w:rsidRPr="00B130EF">
        <w:rPr>
          <w:rFonts w:ascii="Times" w:hAnsi="Times" w:cs="Times"/>
          <w:color w:val="000000"/>
        </w:rPr>
        <w:t>Dreby</w:t>
      </w:r>
      <w:proofErr w:type="spellEnd"/>
      <w:r w:rsidRPr="00B130EF">
        <w:rPr>
          <w:rFonts w:ascii="Times" w:hAnsi="Times" w:cs="Times"/>
          <w:color w:val="000000"/>
        </w:rPr>
        <w:t xml:space="preserve">, 2006; Lovato-Hermann, 2017; Suarez-Orozco et al., 2011). Immigrant children who are reunified with their parents must also deal with separation from their caretakers, who are often extended family mem- </w:t>
      </w:r>
      <w:proofErr w:type="spellStart"/>
      <w:r w:rsidRPr="00B130EF">
        <w:rPr>
          <w:rFonts w:ascii="Times" w:hAnsi="Times" w:cs="Times"/>
          <w:color w:val="000000"/>
        </w:rPr>
        <w:t>bers</w:t>
      </w:r>
      <w:proofErr w:type="spellEnd"/>
      <w:r w:rsidRPr="00B130EF">
        <w:rPr>
          <w:rFonts w:ascii="Times" w:hAnsi="Times" w:cs="Times"/>
          <w:color w:val="000000"/>
        </w:rPr>
        <w:t xml:space="preserve"> acting as symbolic parents (Lovato-Hermann, 2017; Suarez-Orozco et al., 2002). Although family separation can have many unintended negative </w:t>
      </w:r>
      <w:proofErr w:type="spellStart"/>
      <w:r w:rsidRPr="00B130EF">
        <w:rPr>
          <w:rFonts w:ascii="Times" w:hAnsi="Times" w:cs="Times"/>
          <w:color w:val="000000"/>
        </w:rPr>
        <w:t>conse</w:t>
      </w:r>
      <w:proofErr w:type="spellEnd"/>
      <w:r w:rsidRPr="00B130EF">
        <w:rPr>
          <w:rFonts w:ascii="Times" w:hAnsi="Times" w:cs="Times"/>
          <w:color w:val="000000"/>
        </w:rPr>
        <w:t xml:space="preserve">- </w:t>
      </w:r>
      <w:proofErr w:type="spellStart"/>
      <w:r w:rsidRPr="00B130EF">
        <w:rPr>
          <w:rFonts w:ascii="Times" w:hAnsi="Times" w:cs="Times"/>
          <w:color w:val="000000"/>
        </w:rPr>
        <w:t>quences</w:t>
      </w:r>
      <w:proofErr w:type="spellEnd"/>
      <w:r w:rsidRPr="00B130EF">
        <w:rPr>
          <w:rFonts w:ascii="Times" w:hAnsi="Times" w:cs="Times"/>
          <w:color w:val="000000"/>
        </w:rPr>
        <w:t xml:space="preserve">, in some families, there is a level of increased intimacy and closeness after reunification. Despite the sacrifices associated with family separation and </w:t>
      </w:r>
    </w:p>
    <w:p w14:paraId="70566D0F"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b/>
          <w:bCs/>
          <w:color w:val="000000"/>
        </w:rPr>
        <w:t xml:space="preserve">218 </w:t>
      </w:r>
    </w:p>
    <w:p w14:paraId="3EA2BE81"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 xml:space="preserve">reunification during immigration, many families often display resilience over time, allowing them to overcome the setbacks they must endure during the </w:t>
      </w:r>
      <w:proofErr w:type="spellStart"/>
      <w:r w:rsidRPr="00B130EF">
        <w:rPr>
          <w:rFonts w:ascii="Times" w:hAnsi="Times" w:cs="Times"/>
          <w:color w:val="000000"/>
        </w:rPr>
        <w:t>im</w:t>
      </w:r>
      <w:proofErr w:type="spellEnd"/>
      <w:r w:rsidRPr="00B130EF">
        <w:rPr>
          <w:rFonts w:ascii="Times" w:hAnsi="Times" w:cs="Times"/>
          <w:color w:val="000000"/>
        </w:rPr>
        <w:t xml:space="preserve">- migration process (Suarez-Orozco et al., 2011). </w:t>
      </w:r>
    </w:p>
    <w:p w14:paraId="04731DA1"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b/>
          <w:bCs/>
          <w:color w:val="000000"/>
        </w:rPr>
        <w:t xml:space="preserve">Strategies for School Success: Working Together </w:t>
      </w:r>
    </w:p>
    <w:p w14:paraId="4F4456E5"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 xml:space="preserve">In discussing the particular needs of Latino students affected by separation during immigration, the research suggests that schools must act as a bridge for both healthy psychosocial development and effective learning (Garrison, Roy, &amp; Azar, 1999; Schapiro et al., 2013). Children who have experienced emo- </w:t>
      </w:r>
      <w:proofErr w:type="spellStart"/>
      <w:r w:rsidRPr="00B130EF">
        <w:rPr>
          <w:rFonts w:ascii="Times" w:hAnsi="Times" w:cs="Times"/>
          <w:color w:val="000000"/>
        </w:rPr>
        <w:t>tional</w:t>
      </w:r>
      <w:proofErr w:type="spellEnd"/>
      <w:r w:rsidRPr="00B130EF">
        <w:rPr>
          <w:rFonts w:ascii="Times" w:hAnsi="Times" w:cs="Times"/>
          <w:color w:val="000000"/>
        </w:rPr>
        <w:t xml:space="preserve">, psychological, or academic issues need stable relationships at home and/ or school, as they spend most of their time in these two places. In many cases, they may need specific interventions, support groups, and counseling services as well. Schools can help by: (a) training and supporting teachers to promote awareness of the prevalence and consequences of separation and reunification; (b) providing or partnering with mental health services and other community supports that provide assistance to immigrant children and their families; (c) developing partnerships with caregivers and/or parents during their </w:t>
      </w:r>
      <w:proofErr w:type="spellStart"/>
      <w:r w:rsidRPr="00B130EF">
        <w:rPr>
          <w:rFonts w:ascii="Times" w:hAnsi="Times" w:cs="Times"/>
          <w:color w:val="000000"/>
        </w:rPr>
        <w:t>immigra</w:t>
      </w:r>
      <w:proofErr w:type="spellEnd"/>
      <w:r w:rsidRPr="00B130EF">
        <w:rPr>
          <w:rFonts w:ascii="Times" w:hAnsi="Times" w:cs="Times"/>
          <w:color w:val="000000"/>
        </w:rPr>
        <w:t xml:space="preserve">- </w:t>
      </w:r>
      <w:proofErr w:type="spellStart"/>
      <w:r w:rsidRPr="00B130EF">
        <w:rPr>
          <w:rFonts w:ascii="Times" w:hAnsi="Times" w:cs="Times"/>
          <w:color w:val="000000"/>
        </w:rPr>
        <w:t>tion</w:t>
      </w:r>
      <w:proofErr w:type="spellEnd"/>
      <w:r w:rsidRPr="00B130EF">
        <w:rPr>
          <w:rFonts w:ascii="Times" w:hAnsi="Times" w:cs="Times"/>
          <w:color w:val="000000"/>
        </w:rPr>
        <w:t xml:space="preserve"> experiences to support Latino children and their families; (d) personalizing relationships between teachers and students within an academically rigorous setting; and (e) supporting peer relationships (</w:t>
      </w:r>
      <w:proofErr w:type="spellStart"/>
      <w:r w:rsidRPr="00B130EF">
        <w:rPr>
          <w:rFonts w:ascii="Times" w:hAnsi="Times" w:cs="Times"/>
          <w:color w:val="000000"/>
        </w:rPr>
        <w:t>Conchas</w:t>
      </w:r>
      <w:proofErr w:type="spellEnd"/>
      <w:r w:rsidRPr="00B130EF">
        <w:rPr>
          <w:rFonts w:ascii="Times" w:hAnsi="Times" w:cs="Times"/>
          <w:color w:val="000000"/>
        </w:rPr>
        <w:t xml:space="preserve">, 2006; </w:t>
      </w:r>
      <w:proofErr w:type="spellStart"/>
      <w:r w:rsidRPr="00B130EF">
        <w:rPr>
          <w:rFonts w:ascii="Times" w:hAnsi="Times" w:cs="Times"/>
          <w:color w:val="000000"/>
        </w:rPr>
        <w:t>Gándara</w:t>
      </w:r>
      <w:proofErr w:type="spellEnd"/>
      <w:r w:rsidRPr="00B130EF">
        <w:rPr>
          <w:rFonts w:ascii="Times" w:hAnsi="Times" w:cs="Times"/>
          <w:color w:val="000000"/>
        </w:rPr>
        <w:t xml:space="preserve">, Lar- son, </w:t>
      </w:r>
      <w:proofErr w:type="spellStart"/>
      <w:r w:rsidRPr="00B130EF">
        <w:rPr>
          <w:rFonts w:ascii="Times" w:hAnsi="Times" w:cs="Times"/>
          <w:color w:val="000000"/>
        </w:rPr>
        <w:t>Rumberger</w:t>
      </w:r>
      <w:proofErr w:type="spellEnd"/>
      <w:r w:rsidRPr="00B130EF">
        <w:rPr>
          <w:rFonts w:ascii="Times" w:hAnsi="Times" w:cs="Times"/>
          <w:color w:val="000000"/>
        </w:rPr>
        <w:t xml:space="preserve">, &amp; </w:t>
      </w:r>
      <w:proofErr w:type="spellStart"/>
      <w:r w:rsidRPr="00B130EF">
        <w:rPr>
          <w:rFonts w:ascii="Times" w:hAnsi="Times" w:cs="Times"/>
          <w:color w:val="000000"/>
        </w:rPr>
        <w:t>Mehan</w:t>
      </w:r>
      <w:proofErr w:type="spellEnd"/>
      <w:r w:rsidRPr="00B130EF">
        <w:rPr>
          <w:rFonts w:ascii="Times" w:hAnsi="Times" w:cs="Times"/>
          <w:color w:val="000000"/>
        </w:rPr>
        <w:t xml:space="preserve">, 1998; Garrison et al., 1999; </w:t>
      </w:r>
      <w:proofErr w:type="spellStart"/>
      <w:r w:rsidRPr="00B130EF">
        <w:rPr>
          <w:rFonts w:ascii="Times" w:hAnsi="Times" w:cs="Times"/>
          <w:color w:val="000000"/>
        </w:rPr>
        <w:t>López</w:t>
      </w:r>
      <w:proofErr w:type="spellEnd"/>
      <w:r w:rsidRPr="00B130EF">
        <w:rPr>
          <w:rFonts w:ascii="Times" w:hAnsi="Times" w:cs="Times"/>
          <w:color w:val="000000"/>
        </w:rPr>
        <w:t xml:space="preserve">, Scribner, &amp; </w:t>
      </w:r>
      <w:proofErr w:type="spellStart"/>
      <w:r w:rsidRPr="00B130EF">
        <w:rPr>
          <w:rFonts w:ascii="Times" w:hAnsi="Times" w:cs="Times"/>
          <w:color w:val="000000"/>
        </w:rPr>
        <w:t>Mahitivanichcha</w:t>
      </w:r>
      <w:proofErr w:type="spellEnd"/>
      <w:r w:rsidRPr="00B130EF">
        <w:rPr>
          <w:rFonts w:ascii="Times" w:hAnsi="Times" w:cs="Times"/>
          <w:color w:val="000000"/>
        </w:rPr>
        <w:t xml:space="preserve">, 2001; </w:t>
      </w:r>
      <w:proofErr w:type="spellStart"/>
      <w:r w:rsidRPr="00B130EF">
        <w:rPr>
          <w:rFonts w:ascii="Times" w:hAnsi="Times" w:cs="Times"/>
          <w:color w:val="000000"/>
        </w:rPr>
        <w:t>Potochnick</w:t>
      </w:r>
      <w:proofErr w:type="spellEnd"/>
      <w:r w:rsidRPr="00B130EF">
        <w:rPr>
          <w:rFonts w:ascii="Times" w:hAnsi="Times" w:cs="Times"/>
          <w:color w:val="000000"/>
        </w:rPr>
        <w:t xml:space="preserve"> &amp; </w:t>
      </w:r>
      <w:proofErr w:type="spellStart"/>
      <w:r w:rsidRPr="00B130EF">
        <w:rPr>
          <w:rFonts w:ascii="Times" w:hAnsi="Times" w:cs="Times"/>
          <w:color w:val="000000"/>
        </w:rPr>
        <w:t>Perreira</w:t>
      </w:r>
      <w:proofErr w:type="spellEnd"/>
      <w:r w:rsidRPr="00B130EF">
        <w:rPr>
          <w:rFonts w:ascii="Times" w:hAnsi="Times" w:cs="Times"/>
          <w:color w:val="000000"/>
        </w:rPr>
        <w:t xml:space="preserve">, 2010; Schapiro et al., 2013). </w:t>
      </w:r>
    </w:p>
    <w:p w14:paraId="0BC66BE2"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 xml:space="preserve">Teacher Training </w:t>
      </w:r>
    </w:p>
    <w:p w14:paraId="562564AA"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 xml:space="preserve">Given the prevalence of immigration separation experiences for many </w:t>
      </w:r>
      <w:proofErr w:type="spellStart"/>
      <w:r w:rsidRPr="00B130EF">
        <w:rPr>
          <w:rFonts w:ascii="Times" w:hAnsi="Times" w:cs="Times"/>
          <w:color w:val="000000"/>
        </w:rPr>
        <w:t>Lati</w:t>
      </w:r>
      <w:proofErr w:type="spellEnd"/>
      <w:r w:rsidRPr="00B130EF">
        <w:rPr>
          <w:rFonts w:ascii="Times" w:hAnsi="Times" w:cs="Times"/>
          <w:color w:val="000000"/>
        </w:rPr>
        <w:t xml:space="preserve">- no families, professional development opportunities offered at schools can arm teachers with knowledge and strategies to assist students who may be struggling due to their family situation. Though the literature reveals that Latino children are highly resilient in the face of such circumstances (Suárez-Orozco et al., 2002), high incidents of depression and even Post-Traumatic Stress Disorder (PTSD) for both children and their parents can accompany the </w:t>
      </w:r>
      <w:proofErr w:type="spellStart"/>
      <w:r w:rsidRPr="00B130EF">
        <w:rPr>
          <w:rFonts w:ascii="Times" w:hAnsi="Times" w:cs="Times"/>
          <w:color w:val="000000"/>
        </w:rPr>
        <w:t>immigra</w:t>
      </w:r>
      <w:proofErr w:type="spellEnd"/>
      <w:r w:rsidRPr="00B130EF">
        <w:rPr>
          <w:rFonts w:ascii="Times" w:hAnsi="Times" w:cs="Times"/>
          <w:color w:val="000000"/>
        </w:rPr>
        <w:t xml:space="preserve">- </w:t>
      </w:r>
      <w:proofErr w:type="spellStart"/>
      <w:r w:rsidRPr="00B130EF">
        <w:rPr>
          <w:rFonts w:ascii="Times" w:hAnsi="Times" w:cs="Times"/>
          <w:color w:val="000000"/>
        </w:rPr>
        <w:t>tion</w:t>
      </w:r>
      <w:proofErr w:type="spellEnd"/>
      <w:r w:rsidRPr="00B130EF">
        <w:rPr>
          <w:rFonts w:ascii="Times" w:hAnsi="Times" w:cs="Times"/>
          <w:color w:val="000000"/>
        </w:rPr>
        <w:t xml:space="preserve"> experience when families are broken up (Santa-Maria &amp; </w:t>
      </w:r>
      <w:proofErr w:type="spellStart"/>
      <w:r w:rsidRPr="00B130EF">
        <w:rPr>
          <w:rFonts w:ascii="Times" w:hAnsi="Times" w:cs="Times"/>
          <w:color w:val="000000"/>
        </w:rPr>
        <w:t>Cornille</w:t>
      </w:r>
      <w:proofErr w:type="spellEnd"/>
      <w:r w:rsidRPr="00B130EF">
        <w:rPr>
          <w:rFonts w:ascii="Times" w:hAnsi="Times" w:cs="Times"/>
          <w:color w:val="000000"/>
        </w:rPr>
        <w:t xml:space="preserve">, 2007). Teachers who are aware of these possibilities for their immigrant students will understand that such experiences can be normative rather than deviant or ex- </w:t>
      </w:r>
      <w:proofErr w:type="spellStart"/>
      <w:r w:rsidRPr="00B130EF">
        <w:rPr>
          <w:rFonts w:ascii="Times" w:hAnsi="Times" w:cs="Times"/>
          <w:color w:val="000000"/>
        </w:rPr>
        <w:t>ceptional</w:t>
      </w:r>
      <w:proofErr w:type="spellEnd"/>
      <w:r w:rsidRPr="00B130EF">
        <w:rPr>
          <w:rFonts w:ascii="Times" w:hAnsi="Times" w:cs="Times"/>
          <w:color w:val="000000"/>
        </w:rPr>
        <w:t xml:space="preserve"> (</w:t>
      </w:r>
      <w:proofErr w:type="spellStart"/>
      <w:r w:rsidRPr="00B130EF">
        <w:rPr>
          <w:rFonts w:ascii="Times" w:hAnsi="Times" w:cs="Times"/>
          <w:color w:val="000000"/>
        </w:rPr>
        <w:t>Zentograf</w:t>
      </w:r>
      <w:proofErr w:type="spellEnd"/>
      <w:r w:rsidRPr="00B130EF">
        <w:rPr>
          <w:rFonts w:ascii="Times" w:hAnsi="Times" w:cs="Times"/>
          <w:color w:val="000000"/>
        </w:rPr>
        <w:t xml:space="preserve"> &amp; Chinchilla, 2012). </w:t>
      </w:r>
    </w:p>
    <w:p w14:paraId="7393A3FF"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 xml:space="preserve">It is helpful for teachers to understand that immigrant children are of- ten simultaneously dealing with adaptation issues (to a new caregiver, a new culture, a new language), a sense of loss of family left behind, and possible trauma from the immigration experience itself. Potential stressors can include </w:t>
      </w:r>
    </w:p>
    <w:p w14:paraId="02077077"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b/>
          <w:bCs/>
          <w:color w:val="000000"/>
        </w:rPr>
        <w:t xml:space="preserve">LATINO FAMILY SEPARATION </w:t>
      </w:r>
    </w:p>
    <w:p w14:paraId="72723E66"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b/>
          <w:bCs/>
          <w:color w:val="000000"/>
        </w:rPr>
        <w:t xml:space="preserve">219 </w:t>
      </w:r>
    </w:p>
    <w:p w14:paraId="23D0BF9A"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b/>
          <w:bCs/>
          <w:color w:val="000000"/>
        </w:rPr>
        <w:t xml:space="preserve">SCHOOL COMMUNITY JOURNAL </w:t>
      </w:r>
    </w:p>
    <w:p w14:paraId="1A533AC2"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undocumented status, exposure to trauma during immigration, experiences with discrimination, and negative relationships with caregivers or between caregivers and the estranged family members (</w:t>
      </w:r>
      <w:proofErr w:type="spellStart"/>
      <w:r w:rsidRPr="00B130EF">
        <w:rPr>
          <w:rFonts w:ascii="Times" w:hAnsi="Times" w:cs="Times"/>
          <w:color w:val="000000"/>
        </w:rPr>
        <w:t>Potochnick</w:t>
      </w:r>
      <w:proofErr w:type="spellEnd"/>
      <w:r w:rsidRPr="00B130EF">
        <w:rPr>
          <w:rFonts w:ascii="Times" w:hAnsi="Times" w:cs="Times"/>
          <w:color w:val="000000"/>
        </w:rPr>
        <w:t xml:space="preserve"> &amp; </w:t>
      </w:r>
      <w:proofErr w:type="spellStart"/>
      <w:r w:rsidRPr="00B130EF">
        <w:rPr>
          <w:rFonts w:ascii="Times" w:hAnsi="Times" w:cs="Times"/>
          <w:color w:val="000000"/>
        </w:rPr>
        <w:t>Perreira</w:t>
      </w:r>
      <w:proofErr w:type="spellEnd"/>
      <w:r w:rsidRPr="00B130EF">
        <w:rPr>
          <w:rFonts w:ascii="Times" w:hAnsi="Times" w:cs="Times"/>
          <w:color w:val="000000"/>
        </w:rPr>
        <w:t xml:space="preserve">, 2010). As school agents who interact with students every day, teachers are in a par- </w:t>
      </w:r>
      <w:proofErr w:type="spellStart"/>
      <w:r w:rsidRPr="00B130EF">
        <w:rPr>
          <w:rFonts w:ascii="Times" w:hAnsi="Times" w:cs="Times"/>
          <w:color w:val="000000"/>
        </w:rPr>
        <w:t>ticularly</w:t>
      </w:r>
      <w:proofErr w:type="spellEnd"/>
      <w:r w:rsidRPr="00B130EF">
        <w:rPr>
          <w:rFonts w:ascii="Times" w:hAnsi="Times" w:cs="Times"/>
          <w:color w:val="000000"/>
        </w:rPr>
        <w:t xml:space="preserve"> powerful position to develop relationships with children and their families, learn their unique histories, to provide support, and to refer them for specialized services if needed. During and even after the separation period, children often need opportunities to talk about their immigration experiences and their family members; teachers’ use of writing, speaking, and arts </w:t>
      </w:r>
      <w:proofErr w:type="spellStart"/>
      <w:r w:rsidRPr="00B130EF">
        <w:rPr>
          <w:rFonts w:ascii="Times" w:hAnsi="Times" w:cs="Times"/>
          <w:color w:val="000000"/>
        </w:rPr>
        <w:t>activi</w:t>
      </w:r>
      <w:proofErr w:type="spellEnd"/>
      <w:r w:rsidRPr="00B130EF">
        <w:rPr>
          <w:rFonts w:ascii="Times" w:hAnsi="Times" w:cs="Times"/>
          <w:color w:val="000000"/>
        </w:rPr>
        <w:t xml:space="preserve">- ties allow for open and creative student expression in dealing with these issues (Schapiro et al., 2013). </w:t>
      </w:r>
    </w:p>
    <w:p w14:paraId="0601E6B8"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Teachers can also benefit from an awareness of the cultural differences that may exist between the collectivist culture of many immigrant students and families and the more individualistic culture valued in U.S. schools (Trumbull &amp; Rothstein-</w:t>
      </w:r>
      <w:proofErr w:type="spellStart"/>
      <w:r w:rsidRPr="00B130EF">
        <w:rPr>
          <w:rFonts w:ascii="Times" w:hAnsi="Times" w:cs="Times"/>
          <w:color w:val="000000"/>
        </w:rPr>
        <w:t>Fisch</w:t>
      </w:r>
      <w:proofErr w:type="spellEnd"/>
      <w:r w:rsidRPr="00B130EF">
        <w:rPr>
          <w:rFonts w:ascii="Times" w:hAnsi="Times" w:cs="Times"/>
          <w:color w:val="000000"/>
        </w:rPr>
        <w:t>, 2011). By being aware of these differences teachers can plan for opportunities for students to work collaboratively and be available to support one another (Hiatt-Michael, 2008; Trumbull, Rothstein-</w:t>
      </w:r>
      <w:proofErr w:type="spellStart"/>
      <w:r w:rsidRPr="00B130EF">
        <w:rPr>
          <w:rFonts w:ascii="Times" w:hAnsi="Times" w:cs="Times"/>
          <w:color w:val="000000"/>
        </w:rPr>
        <w:t>Fisch</w:t>
      </w:r>
      <w:proofErr w:type="spellEnd"/>
      <w:r w:rsidRPr="00B130EF">
        <w:rPr>
          <w:rFonts w:ascii="Times" w:hAnsi="Times" w:cs="Times"/>
          <w:color w:val="000000"/>
        </w:rPr>
        <w:t>, &amp; Hernandez, 2003). Restorative justice practices, such as community-building circles, are another strategy that can provide an ideal opportunity for students to talk about their immigration experiences in a safe setting (</w:t>
      </w:r>
      <w:proofErr w:type="spellStart"/>
      <w:r w:rsidRPr="00B130EF">
        <w:rPr>
          <w:rFonts w:ascii="Times" w:hAnsi="Times" w:cs="Times"/>
          <w:color w:val="000000"/>
        </w:rPr>
        <w:t>Pavelka</w:t>
      </w:r>
      <w:proofErr w:type="spellEnd"/>
      <w:r w:rsidRPr="00B130EF">
        <w:rPr>
          <w:rFonts w:ascii="Times" w:hAnsi="Times" w:cs="Times"/>
          <w:color w:val="000000"/>
        </w:rPr>
        <w:t xml:space="preserve">, 2013). The literature also suggests that teachers keep an open line of communication with any available mental health professionals at their school site or in their community in order to provide the best care for each child, particularly be- </w:t>
      </w:r>
      <w:proofErr w:type="gramStart"/>
      <w:r w:rsidRPr="00B130EF">
        <w:rPr>
          <w:rFonts w:ascii="Times" w:hAnsi="Times" w:cs="Times"/>
          <w:color w:val="000000"/>
        </w:rPr>
        <w:t>cause</w:t>
      </w:r>
      <w:proofErr w:type="gramEnd"/>
      <w:r w:rsidRPr="00B130EF">
        <w:rPr>
          <w:rFonts w:ascii="Times" w:hAnsi="Times" w:cs="Times"/>
          <w:color w:val="000000"/>
        </w:rPr>
        <w:t xml:space="preserve"> earlier intervention is more effective (Santa-Maria &amp; </w:t>
      </w:r>
      <w:proofErr w:type="spellStart"/>
      <w:r w:rsidRPr="00B130EF">
        <w:rPr>
          <w:rFonts w:ascii="Times" w:hAnsi="Times" w:cs="Times"/>
          <w:color w:val="000000"/>
        </w:rPr>
        <w:t>Cornille</w:t>
      </w:r>
      <w:proofErr w:type="spellEnd"/>
      <w:r w:rsidRPr="00B130EF">
        <w:rPr>
          <w:rFonts w:ascii="Times" w:hAnsi="Times" w:cs="Times"/>
          <w:color w:val="000000"/>
        </w:rPr>
        <w:t xml:space="preserve">, 2007). The key is to be made aware of these struggles that immigrant Latino children experience and to collaborate with services within the institution and/or the community that can assist students’ positive acculturation to the U.S. </w:t>
      </w:r>
    </w:p>
    <w:p w14:paraId="11FCC3D7"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 xml:space="preserve">School-Based Mental Health Services </w:t>
      </w:r>
    </w:p>
    <w:p w14:paraId="28F1BBEA"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 xml:space="preserve">Evidence from the literature suggests that, while Latinos seek and attend mental health services less frequently than their counterparts from other eth- </w:t>
      </w:r>
      <w:proofErr w:type="spellStart"/>
      <w:r w:rsidRPr="00B130EF">
        <w:rPr>
          <w:rFonts w:ascii="Times" w:hAnsi="Times" w:cs="Times"/>
          <w:color w:val="000000"/>
        </w:rPr>
        <w:t>nic</w:t>
      </w:r>
      <w:proofErr w:type="spellEnd"/>
      <w:r w:rsidRPr="00B130EF">
        <w:rPr>
          <w:rFonts w:ascii="Times" w:hAnsi="Times" w:cs="Times"/>
          <w:color w:val="000000"/>
        </w:rPr>
        <w:t xml:space="preserve"> or racial groups, they are much more likely to access such services when they are offered within the school site (Adams, 2016; Garrison et al., 1999). So-called “wraparound” services—including mental health services provided at schools—can be immensely helpful to immigrant students and their families. Due to limited personal and financial resources, many schools have success- fully partnered with community organizations to enable such services to be provided at the school site either during school or during afterschool programs (</w:t>
      </w:r>
      <w:proofErr w:type="spellStart"/>
      <w:r w:rsidRPr="00B130EF">
        <w:rPr>
          <w:rFonts w:ascii="Times" w:hAnsi="Times" w:cs="Times"/>
          <w:color w:val="000000"/>
        </w:rPr>
        <w:t>Vaillancourt</w:t>
      </w:r>
      <w:proofErr w:type="spellEnd"/>
      <w:r w:rsidRPr="00B130EF">
        <w:rPr>
          <w:rFonts w:ascii="Times" w:hAnsi="Times" w:cs="Times"/>
          <w:color w:val="000000"/>
        </w:rPr>
        <w:t xml:space="preserve"> &amp; Amador, 2014). Such services should ideally be staffed by individuals with specific training in the culture from which the immigrant </w:t>
      </w:r>
    </w:p>
    <w:p w14:paraId="5CC2CB4F"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b/>
          <w:bCs/>
          <w:color w:val="000000"/>
        </w:rPr>
        <w:t xml:space="preserve">220 </w:t>
      </w:r>
    </w:p>
    <w:p w14:paraId="37FE8498"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 xml:space="preserve">students come; therapies that emanate from a dominant cultural worldview can prove unhelpful to students dealing with separation and reunification is- sues (Garrison et al., 1999; </w:t>
      </w:r>
      <w:proofErr w:type="spellStart"/>
      <w:r w:rsidRPr="00B130EF">
        <w:rPr>
          <w:rFonts w:ascii="Times" w:hAnsi="Times" w:cs="Times"/>
          <w:color w:val="000000"/>
        </w:rPr>
        <w:t>Zentograf</w:t>
      </w:r>
      <w:proofErr w:type="spellEnd"/>
      <w:r w:rsidRPr="00B130EF">
        <w:rPr>
          <w:rFonts w:ascii="Times" w:hAnsi="Times" w:cs="Times"/>
          <w:color w:val="000000"/>
        </w:rPr>
        <w:t xml:space="preserve"> &amp; Chinchilla, 2012). Ideally, therapists also would be aware of gender differences related to mental health issues, as Latinas in general report higher depressive symptoms, but Latino males report greater degrees of estrangement from caregivers both during separation and </w:t>
      </w:r>
      <w:proofErr w:type="spellStart"/>
      <w:r w:rsidRPr="00B130EF">
        <w:rPr>
          <w:rFonts w:ascii="Times" w:hAnsi="Times" w:cs="Times"/>
          <w:color w:val="000000"/>
        </w:rPr>
        <w:t>af</w:t>
      </w:r>
      <w:proofErr w:type="spellEnd"/>
      <w:r w:rsidRPr="00B130EF">
        <w:rPr>
          <w:rFonts w:ascii="Times" w:hAnsi="Times" w:cs="Times"/>
          <w:color w:val="000000"/>
        </w:rPr>
        <w:t xml:space="preserve">- </w:t>
      </w:r>
      <w:proofErr w:type="spellStart"/>
      <w:r w:rsidRPr="00B130EF">
        <w:rPr>
          <w:rFonts w:ascii="Times" w:hAnsi="Times" w:cs="Times"/>
          <w:color w:val="000000"/>
        </w:rPr>
        <w:t>ter</w:t>
      </w:r>
      <w:proofErr w:type="spellEnd"/>
      <w:r w:rsidRPr="00B130EF">
        <w:rPr>
          <w:rFonts w:ascii="Times" w:hAnsi="Times" w:cs="Times"/>
          <w:color w:val="000000"/>
        </w:rPr>
        <w:t xml:space="preserve"> reunification (Garrison et al., 1999; Lovato-Herman, 2015; Schapiro et al., 2013). Depending on their needs, individual, group, and family therapies can be invaluable services (Garrison et al., 1999; Santa-Maria &amp; </w:t>
      </w:r>
      <w:proofErr w:type="spellStart"/>
      <w:r w:rsidRPr="00B130EF">
        <w:rPr>
          <w:rFonts w:ascii="Times" w:hAnsi="Times" w:cs="Times"/>
          <w:color w:val="000000"/>
        </w:rPr>
        <w:t>Cornille</w:t>
      </w:r>
      <w:proofErr w:type="spellEnd"/>
      <w:r w:rsidRPr="00B130EF">
        <w:rPr>
          <w:rFonts w:ascii="Times" w:hAnsi="Times" w:cs="Times"/>
          <w:color w:val="000000"/>
        </w:rPr>
        <w:t xml:space="preserve">, 2007); specific interventions can include “psychosocial support, culturally sensitive cognitive behavioral therapy, and narrative therapy” (Santa-Maria &amp; </w:t>
      </w:r>
      <w:proofErr w:type="spellStart"/>
      <w:r w:rsidRPr="00B130EF">
        <w:rPr>
          <w:rFonts w:ascii="Times" w:hAnsi="Times" w:cs="Times"/>
          <w:color w:val="000000"/>
        </w:rPr>
        <w:t>Cornille</w:t>
      </w:r>
      <w:proofErr w:type="spellEnd"/>
      <w:r w:rsidRPr="00B130EF">
        <w:rPr>
          <w:rFonts w:ascii="Times" w:hAnsi="Times" w:cs="Times"/>
          <w:color w:val="000000"/>
        </w:rPr>
        <w:t xml:space="preserve">, 2007, p. 29). Provision of therapies in Spanish may be helpful as well, </w:t>
      </w:r>
      <w:proofErr w:type="spellStart"/>
      <w:r w:rsidRPr="00B130EF">
        <w:rPr>
          <w:rFonts w:ascii="Times" w:hAnsi="Times" w:cs="Times"/>
          <w:color w:val="000000"/>
        </w:rPr>
        <w:t>particu</w:t>
      </w:r>
      <w:proofErr w:type="spellEnd"/>
      <w:r w:rsidRPr="00B130EF">
        <w:rPr>
          <w:rFonts w:ascii="Times" w:hAnsi="Times" w:cs="Times"/>
          <w:color w:val="000000"/>
        </w:rPr>
        <w:t xml:space="preserve">- </w:t>
      </w:r>
      <w:proofErr w:type="spellStart"/>
      <w:r w:rsidRPr="00B130EF">
        <w:rPr>
          <w:rFonts w:ascii="Times" w:hAnsi="Times" w:cs="Times"/>
          <w:color w:val="000000"/>
        </w:rPr>
        <w:t>larly</w:t>
      </w:r>
      <w:proofErr w:type="spellEnd"/>
      <w:r w:rsidRPr="00B130EF">
        <w:rPr>
          <w:rFonts w:ascii="Times" w:hAnsi="Times" w:cs="Times"/>
          <w:color w:val="000000"/>
        </w:rPr>
        <w:t xml:space="preserve"> in group or family settings. </w:t>
      </w:r>
    </w:p>
    <w:p w14:paraId="3A318E77"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 xml:space="preserve">School–Caregiver and School–Family Partnerships </w:t>
      </w:r>
    </w:p>
    <w:p w14:paraId="1A333D81"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 xml:space="preserve">Schools that work effectively with Latino immigrant populations find ways to meet the needs of their families in order to work cooperatively with them (Delgado </w:t>
      </w:r>
      <w:proofErr w:type="spellStart"/>
      <w:r w:rsidRPr="00B130EF">
        <w:rPr>
          <w:rFonts w:ascii="Times" w:hAnsi="Times" w:cs="Times"/>
          <w:color w:val="000000"/>
        </w:rPr>
        <w:t>Gaitan</w:t>
      </w:r>
      <w:proofErr w:type="spellEnd"/>
      <w:r w:rsidRPr="00B130EF">
        <w:rPr>
          <w:rFonts w:ascii="Times" w:hAnsi="Times" w:cs="Times"/>
          <w:color w:val="000000"/>
        </w:rPr>
        <w:t xml:space="preserve">, 2004; Grant &amp; Ray, 2010; Paik &amp; Walberg, 2007; Redding, Murphy, &amp; </w:t>
      </w:r>
      <w:proofErr w:type="spellStart"/>
      <w:r w:rsidRPr="00B130EF">
        <w:rPr>
          <w:rFonts w:ascii="Times" w:hAnsi="Times" w:cs="Times"/>
          <w:color w:val="000000"/>
        </w:rPr>
        <w:t>Sheley</w:t>
      </w:r>
      <w:proofErr w:type="spellEnd"/>
      <w:r w:rsidRPr="00B130EF">
        <w:rPr>
          <w:rFonts w:ascii="Times" w:hAnsi="Times" w:cs="Times"/>
          <w:color w:val="000000"/>
        </w:rPr>
        <w:t xml:space="preserve">, 2011). Rather than blaming parents and other </w:t>
      </w:r>
      <w:proofErr w:type="spellStart"/>
      <w:r w:rsidRPr="00B130EF">
        <w:rPr>
          <w:rFonts w:ascii="Times" w:hAnsi="Times" w:cs="Times"/>
          <w:color w:val="000000"/>
        </w:rPr>
        <w:t>caregiv</w:t>
      </w:r>
      <w:proofErr w:type="spellEnd"/>
      <w:r w:rsidRPr="00B130EF">
        <w:rPr>
          <w:rFonts w:ascii="Times" w:hAnsi="Times" w:cs="Times"/>
          <w:color w:val="000000"/>
        </w:rPr>
        <w:t xml:space="preserve">- </w:t>
      </w:r>
      <w:proofErr w:type="spellStart"/>
      <w:r w:rsidRPr="00B130EF">
        <w:rPr>
          <w:rFonts w:ascii="Times" w:hAnsi="Times" w:cs="Times"/>
          <w:color w:val="000000"/>
        </w:rPr>
        <w:t>ers</w:t>
      </w:r>
      <w:proofErr w:type="spellEnd"/>
      <w:r w:rsidRPr="00B130EF">
        <w:rPr>
          <w:rFonts w:ascii="Times" w:hAnsi="Times" w:cs="Times"/>
          <w:color w:val="000000"/>
        </w:rPr>
        <w:t xml:space="preserve"> for nonparticipation, these schools look inward, assume responsibility, and work with families to remove the barriers to integration with schools (Auer- </w:t>
      </w:r>
      <w:proofErr w:type="spellStart"/>
      <w:r w:rsidRPr="00B130EF">
        <w:rPr>
          <w:rFonts w:ascii="Times" w:hAnsi="Times" w:cs="Times"/>
          <w:color w:val="000000"/>
        </w:rPr>
        <w:t>bach</w:t>
      </w:r>
      <w:proofErr w:type="spellEnd"/>
      <w:r w:rsidRPr="00B130EF">
        <w:rPr>
          <w:rFonts w:ascii="Times" w:hAnsi="Times" w:cs="Times"/>
          <w:color w:val="000000"/>
        </w:rPr>
        <w:t xml:space="preserve">, 2011; </w:t>
      </w:r>
      <w:proofErr w:type="spellStart"/>
      <w:r w:rsidRPr="00B130EF">
        <w:rPr>
          <w:rFonts w:ascii="Times" w:hAnsi="Times" w:cs="Times"/>
          <w:color w:val="000000"/>
        </w:rPr>
        <w:t>López</w:t>
      </w:r>
      <w:proofErr w:type="spellEnd"/>
      <w:r w:rsidRPr="00B130EF">
        <w:rPr>
          <w:rFonts w:ascii="Times" w:hAnsi="Times" w:cs="Times"/>
          <w:color w:val="000000"/>
        </w:rPr>
        <w:t xml:space="preserve"> et al., 2001). During challenging times of family separation, teachers and parents or family members can develop school–family partner- ships to build a bridge for healthy communication for children’s well-being and academic progress (Grant &amp; Ray, 2010; </w:t>
      </w:r>
      <w:proofErr w:type="spellStart"/>
      <w:r w:rsidRPr="00B130EF">
        <w:rPr>
          <w:rFonts w:ascii="Times" w:hAnsi="Times" w:cs="Times"/>
          <w:color w:val="000000"/>
        </w:rPr>
        <w:t>Patrikakou</w:t>
      </w:r>
      <w:proofErr w:type="spellEnd"/>
      <w:r w:rsidRPr="00B130EF">
        <w:rPr>
          <w:rFonts w:ascii="Times" w:hAnsi="Times" w:cs="Times"/>
          <w:color w:val="000000"/>
        </w:rPr>
        <w:t xml:space="preserve">, </w:t>
      </w:r>
      <w:proofErr w:type="spellStart"/>
      <w:r w:rsidRPr="00B130EF">
        <w:rPr>
          <w:rFonts w:ascii="Times" w:hAnsi="Times" w:cs="Times"/>
          <w:color w:val="000000"/>
        </w:rPr>
        <w:t>Weissberg</w:t>
      </w:r>
      <w:proofErr w:type="spellEnd"/>
      <w:r w:rsidRPr="00B130EF">
        <w:rPr>
          <w:rFonts w:ascii="Times" w:hAnsi="Times" w:cs="Times"/>
          <w:color w:val="000000"/>
        </w:rPr>
        <w:t xml:space="preserve">, Redding, &amp; Walberg, 2005) </w:t>
      </w:r>
    </w:p>
    <w:p w14:paraId="3ACB4246"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 xml:space="preserve">However, simply offering information sessions and inviting parents and caregivers of Latino immigrant students to attend has limited impact; schools that develop mutually trusting relationships with immigrant families find that they are much more effective at engaging a broad range of parents and other caregivers (Giles, 2005; </w:t>
      </w:r>
      <w:proofErr w:type="spellStart"/>
      <w:r w:rsidRPr="00B130EF">
        <w:rPr>
          <w:rFonts w:ascii="Times" w:hAnsi="Times" w:cs="Times"/>
          <w:color w:val="000000"/>
        </w:rPr>
        <w:t>Patrikakou</w:t>
      </w:r>
      <w:proofErr w:type="spellEnd"/>
      <w:r w:rsidRPr="00B130EF">
        <w:rPr>
          <w:rFonts w:ascii="Times" w:hAnsi="Times" w:cs="Times"/>
          <w:color w:val="000000"/>
        </w:rPr>
        <w:t xml:space="preserve"> et al., 2005). Schools with effective fam- </w:t>
      </w:r>
      <w:proofErr w:type="spellStart"/>
      <w:r w:rsidRPr="00B130EF">
        <w:rPr>
          <w:rFonts w:ascii="Times" w:hAnsi="Times" w:cs="Times"/>
          <w:color w:val="000000"/>
        </w:rPr>
        <w:t>ily</w:t>
      </w:r>
      <w:proofErr w:type="spellEnd"/>
      <w:r w:rsidRPr="00B130EF">
        <w:rPr>
          <w:rFonts w:ascii="Times" w:hAnsi="Times" w:cs="Times"/>
          <w:color w:val="000000"/>
        </w:rPr>
        <w:t xml:space="preserve"> partnerships recognize that educational structures and personnel can help or hinder healthy relationship-building (Epstein, 2005). These schools bridge the divide between parents and the institution by hiring bilingual staff and/ or faculty who can initiate positive communication with caregivers and as- </w:t>
      </w:r>
      <w:proofErr w:type="spellStart"/>
      <w:r w:rsidRPr="00B130EF">
        <w:rPr>
          <w:rFonts w:ascii="Times" w:hAnsi="Times" w:cs="Times"/>
          <w:color w:val="000000"/>
        </w:rPr>
        <w:t>sess</w:t>
      </w:r>
      <w:proofErr w:type="spellEnd"/>
      <w:r w:rsidRPr="00B130EF">
        <w:rPr>
          <w:rFonts w:ascii="Times" w:hAnsi="Times" w:cs="Times"/>
          <w:color w:val="000000"/>
        </w:rPr>
        <w:t xml:space="preserve"> the barriers they experience, thus allowing schools to develop strategies to meet those needs (Grant &amp; Ray, 2010; Tang, Dearing, &amp; Weiss, 2012). Such strategies may involve holding meetings at times that are more convenient for Latino immigrant families; communicating in Spanish at meetings, events, and through newsletters and messages; developing a bilingual homework program </w:t>
      </w:r>
    </w:p>
    <w:p w14:paraId="22BA4B0D"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b/>
          <w:bCs/>
          <w:color w:val="000000"/>
        </w:rPr>
        <w:t xml:space="preserve">LATINO FAMILY SEPARATION </w:t>
      </w:r>
    </w:p>
    <w:p w14:paraId="5FDE0078"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b/>
          <w:bCs/>
          <w:color w:val="000000"/>
        </w:rPr>
        <w:t xml:space="preserve">221 </w:t>
      </w:r>
    </w:p>
    <w:p w14:paraId="62C4F81F"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b/>
          <w:bCs/>
          <w:color w:val="000000"/>
        </w:rPr>
        <w:t xml:space="preserve">SCHOOL COMMUNITY JOURNAL </w:t>
      </w:r>
    </w:p>
    <w:p w14:paraId="396FB91E"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 xml:space="preserve">involving parents; providing workshops for parents (e.g., English classes, col- </w:t>
      </w:r>
      <w:proofErr w:type="spellStart"/>
      <w:r w:rsidRPr="00B130EF">
        <w:rPr>
          <w:rFonts w:ascii="Times" w:hAnsi="Times" w:cs="Times"/>
          <w:color w:val="000000"/>
        </w:rPr>
        <w:t>lege</w:t>
      </w:r>
      <w:proofErr w:type="spellEnd"/>
      <w:r w:rsidRPr="00B130EF">
        <w:rPr>
          <w:rFonts w:ascii="Times" w:hAnsi="Times" w:cs="Times"/>
          <w:color w:val="000000"/>
        </w:rPr>
        <w:t xml:space="preserve"> knowledge workshops, etc.); and working with the public, private, and business sectors to meet material needs of families (</w:t>
      </w:r>
      <w:proofErr w:type="spellStart"/>
      <w:r w:rsidRPr="00B130EF">
        <w:rPr>
          <w:rFonts w:ascii="Times" w:hAnsi="Times" w:cs="Times"/>
          <w:color w:val="000000"/>
        </w:rPr>
        <w:t>Auerbach</w:t>
      </w:r>
      <w:proofErr w:type="spellEnd"/>
      <w:r w:rsidRPr="00B130EF">
        <w:rPr>
          <w:rFonts w:ascii="Times" w:hAnsi="Times" w:cs="Times"/>
          <w:color w:val="000000"/>
        </w:rPr>
        <w:t xml:space="preserve">, 2011; Delgado </w:t>
      </w:r>
      <w:proofErr w:type="spellStart"/>
      <w:r w:rsidRPr="00B130EF">
        <w:rPr>
          <w:rFonts w:ascii="Times" w:hAnsi="Times" w:cs="Times"/>
          <w:color w:val="000000"/>
        </w:rPr>
        <w:t>Gaitan</w:t>
      </w:r>
      <w:proofErr w:type="spellEnd"/>
      <w:r w:rsidRPr="00B130EF">
        <w:rPr>
          <w:rFonts w:ascii="Times" w:hAnsi="Times" w:cs="Times"/>
          <w:color w:val="000000"/>
        </w:rPr>
        <w:t xml:space="preserve">, 2004; </w:t>
      </w:r>
      <w:proofErr w:type="spellStart"/>
      <w:r w:rsidRPr="00B130EF">
        <w:rPr>
          <w:rFonts w:ascii="Times" w:hAnsi="Times" w:cs="Times"/>
          <w:color w:val="000000"/>
        </w:rPr>
        <w:t>López</w:t>
      </w:r>
      <w:proofErr w:type="spellEnd"/>
      <w:r w:rsidRPr="00B130EF">
        <w:rPr>
          <w:rFonts w:ascii="Times" w:hAnsi="Times" w:cs="Times"/>
          <w:color w:val="000000"/>
        </w:rPr>
        <w:t xml:space="preserve"> et al., 2001; Paik &amp; Walberg, 2007). Such efforts can involve parents and caregivers more fully in the lives of students, building re- </w:t>
      </w:r>
      <w:proofErr w:type="spellStart"/>
      <w:r w:rsidRPr="00B130EF">
        <w:rPr>
          <w:rFonts w:ascii="Times" w:hAnsi="Times" w:cs="Times"/>
          <w:color w:val="000000"/>
        </w:rPr>
        <w:t>lationships</w:t>
      </w:r>
      <w:proofErr w:type="spellEnd"/>
      <w:r w:rsidRPr="00B130EF">
        <w:rPr>
          <w:rFonts w:ascii="Times" w:hAnsi="Times" w:cs="Times"/>
          <w:color w:val="000000"/>
        </w:rPr>
        <w:t xml:space="preserve"> in a way that can alleviate some of the stresses of separation and reunification. </w:t>
      </w:r>
    </w:p>
    <w:p w14:paraId="0E1D9768"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 xml:space="preserve">For those cases where schools become aware of students experiencing </w:t>
      </w:r>
      <w:proofErr w:type="spellStart"/>
      <w:r w:rsidRPr="00B130EF">
        <w:rPr>
          <w:rFonts w:ascii="Times" w:hAnsi="Times" w:cs="Times"/>
          <w:color w:val="000000"/>
        </w:rPr>
        <w:t>sepa</w:t>
      </w:r>
      <w:proofErr w:type="spellEnd"/>
      <w:r w:rsidRPr="00B130EF">
        <w:rPr>
          <w:rFonts w:ascii="Times" w:hAnsi="Times" w:cs="Times"/>
          <w:color w:val="000000"/>
        </w:rPr>
        <w:t xml:space="preserve">- ration, the schools might consider offering technological resources to keep in contact with family members who remain in the country of origin, which can help provide a sense of cohesion and stability (Schapiro et al., 2013). When possible, family sessions with schools’ mental health professionals can assist with issues of adjustment, which are especially common when reunification occurs after a protracted absence (Garrison et al., 1999; Schapiro et al., 2013; </w:t>
      </w:r>
      <w:proofErr w:type="spellStart"/>
      <w:r w:rsidRPr="00B130EF">
        <w:rPr>
          <w:rFonts w:ascii="Times" w:hAnsi="Times" w:cs="Times"/>
          <w:color w:val="000000"/>
        </w:rPr>
        <w:t>Zentograf</w:t>
      </w:r>
      <w:proofErr w:type="spellEnd"/>
      <w:r w:rsidRPr="00B130EF">
        <w:rPr>
          <w:rFonts w:ascii="Times" w:hAnsi="Times" w:cs="Times"/>
          <w:color w:val="000000"/>
        </w:rPr>
        <w:t xml:space="preserve"> &amp; Chinchilla, 2012). Schools can also offer information to parents to help them navigate the educational system, understand the centrality of </w:t>
      </w:r>
      <w:proofErr w:type="spellStart"/>
      <w:r w:rsidRPr="00B130EF">
        <w:rPr>
          <w:rFonts w:ascii="Times" w:hAnsi="Times" w:cs="Times"/>
          <w:color w:val="000000"/>
        </w:rPr>
        <w:t>ed</w:t>
      </w:r>
      <w:proofErr w:type="spellEnd"/>
      <w:r w:rsidRPr="00B130EF">
        <w:rPr>
          <w:rFonts w:ascii="Times" w:hAnsi="Times" w:cs="Times"/>
          <w:color w:val="000000"/>
        </w:rPr>
        <w:t xml:space="preserve">- </w:t>
      </w:r>
      <w:proofErr w:type="spellStart"/>
      <w:r w:rsidRPr="00B130EF">
        <w:rPr>
          <w:rFonts w:ascii="Times" w:hAnsi="Times" w:cs="Times"/>
          <w:color w:val="000000"/>
        </w:rPr>
        <w:t>ucation</w:t>
      </w:r>
      <w:proofErr w:type="spellEnd"/>
      <w:r w:rsidRPr="00B130EF">
        <w:rPr>
          <w:rFonts w:ascii="Times" w:hAnsi="Times" w:cs="Times"/>
          <w:color w:val="000000"/>
        </w:rPr>
        <w:t xml:space="preserve"> to upward mobility in the U.S., inculcate the habits at home that lead to higher achievement, and access the resources and opportunities to </w:t>
      </w:r>
      <w:proofErr w:type="spellStart"/>
      <w:r w:rsidRPr="00B130EF">
        <w:rPr>
          <w:rFonts w:ascii="Times" w:hAnsi="Times" w:cs="Times"/>
          <w:color w:val="000000"/>
        </w:rPr>
        <w:t>encour</w:t>
      </w:r>
      <w:proofErr w:type="spellEnd"/>
      <w:r w:rsidRPr="00B130EF">
        <w:rPr>
          <w:rFonts w:ascii="Times" w:hAnsi="Times" w:cs="Times"/>
          <w:color w:val="000000"/>
        </w:rPr>
        <w:t>- age students’ academic success (</w:t>
      </w:r>
      <w:proofErr w:type="spellStart"/>
      <w:r w:rsidRPr="00B130EF">
        <w:rPr>
          <w:rFonts w:ascii="Times" w:hAnsi="Times" w:cs="Times"/>
          <w:color w:val="000000"/>
        </w:rPr>
        <w:t>Auerbach</w:t>
      </w:r>
      <w:proofErr w:type="spellEnd"/>
      <w:r w:rsidRPr="00B130EF">
        <w:rPr>
          <w:rFonts w:ascii="Times" w:hAnsi="Times" w:cs="Times"/>
          <w:color w:val="000000"/>
        </w:rPr>
        <w:t xml:space="preserve">, 2011; Delgado </w:t>
      </w:r>
      <w:proofErr w:type="spellStart"/>
      <w:r w:rsidRPr="00B130EF">
        <w:rPr>
          <w:rFonts w:ascii="Times" w:hAnsi="Times" w:cs="Times"/>
          <w:color w:val="000000"/>
        </w:rPr>
        <w:t>Gaitan</w:t>
      </w:r>
      <w:proofErr w:type="spellEnd"/>
      <w:r w:rsidRPr="00B130EF">
        <w:rPr>
          <w:rFonts w:ascii="Times" w:hAnsi="Times" w:cs="Times"/>
          <w:color w:val="000000"/>
        </w:rPr>
        <w:t xml:space="preserve">, 2012; </w:t>
      </w:r>
      <w:proofErr w:type="spellStart"/>
      <w:r w:rsidRPr="00B130EF">
        <w:rPr>
          <w:rFonts w:ascii="Times" w:hAnsi="Times" w:cs="Times"/>
          <w:color w:val="000000"/>
        </w:rPr>
        <w:t>López</w:t>
      </w:r>
      <w:proofErr w:type="spellEnd"/>
      <w:r w:rsidRPr="00B130EF">
        <w:rPr>
          <w:rFonts w:ascii="Times" w:hAnsi="Times" w:cs="Times"/>
          <w:color w:val="000000"/>
        </w:rPr>
        <w:t xml:space="preserve"> et al., 2001). </w:t>
      </w:r>
    </w:p>
    <w:p w14:paraId="20462CA7"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 xml:space="preserve">The network of relationships between families and schools resulting from such practices can be very helpful to draw caregivers and parents into </w:t>
      </w:r>
      <w:proofErr w:type="spellStart"/>
      <w:r w:rsidRPr="00B130EF">
        <w:rPr>
          <w:rFonts w:ascii="Times" w:hAnsi="Times" w:cs="Times"/>
          <w:color w:val="000000"/>
        </w:rPr>
        <w:t>chil</w:t>
      </w:r>
      <w:proofErr w:type="spellEnd"/>
      <w:r w:rsidRPr="00B130EF">
        <w:rPr>
          <w:rFonts w:ascii="Times" w:hAnsi="Times" w:cs="Times"/>
          <w:color w:val="000000"/>
        </w:rPr>
        <w:t xml:space="preserve">- </w:t>
      </w:r>
      <w:proofErr w:type="spellStart"/>
      <w:r w:rsidRPr="00B130EF">
        <w:rPr>
          <w:rFonts w:ascii="Times" w:hAnsi="Times" w:cs="Times"/>
          <w:color w:val="000000"/>
        </w:rPr>
        <w:t>dren’s</w:t>
      </w:r>
      <w:proofErr w:type="spellEnd"/>
      <w:r w:rsidRPr="00B130EF">
        <w:rPr>
          <w:rFonts w:ascii="Times" w:hAnsi="Times" w:cs="Times"/>
          <w:color w:val="000000"/>
        </w:rPr>
        <w:t xml:space="preserve"> lives in positive ways and ease some of the stresses of adjustment after immigration, including those related to family separation and reunification experiences. Schools benefit from positive family–school connections as well; the positive view of families created by these effective partnerships can become reflected in raised expectations for Latino children—a schoolwide belief that every child is capable of excellent work (</w:t>
      </w:r>
      <w:proofErr w:type="spellStart"/>
      <w:r w:rsidRPr="00B130EF">
        <w:rPr>
          <w:rFonts w:ascii="Times" w:hAnsi="Times" w:cs="Times"/>
          <w:color w:val="000000"/>
        </w:rPr>
        <w:t>López</w:t>
      </w:r>
      <w:proofErr w:type="spellEnd"/>
      <w:r w:rsidRPr="00B130EF">
        <w:rPr>
          <w:rFonts w:ascii="Times" w:hAnsi="Times" w:cs="Times"/>
          <w:color w:val="000000"/>
        </w:rPr>
        <w:t xml:space="preserve"> et al., 2001). </w:t>
      </w:r>
    </w:p>
    <w:p w14:paraId="3F2BBB2A"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 xml:space="preserve">Teacher–Student Relationships </w:t>
      </w:r>
    </w:p>
    <w:p w14:paraId="0BB81274"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 xml:space="preserve">Relationships with key agents (e.g., teachers, counselors, etc.) at school can provide immigrant students with people to whom they can go for both aca- </w:t>
      </w:r>
      <w:proofErr w:type="spellStart"/>
      <w:r w:rsidRPr="00B130EF">
        <w:rPr>
          <w:rFonts w:ascii="Times" w:hAnsi="Times" w:cs="Times"/>
          <w:color w:val="000000"/>
        </w:rPr>
        <w:t>demic</w:t>
      </w:r>
      <w:proofErr w:type="spellEnd"/>
      <w:r w:rsidRPr="00B130EF">
        <w:rPr>
          <w:rFonts w:ascii="Times" w:hAnsi="Times" w:cs="Times"/>
          <w:color w:val="000000"/>
        </w:rPr>
        <w:t xml:space="preserve"> and interpersonal issues. Specific structures that increase the length and depth of contact between students and teachers allow for teachers to under- stand and meet their students’ needs more effectively (</w:t>
      </w:r>
      <w:proofErr w:type="spellStart"/>
      <w:r w:rsidRPr="00B130EF">
        <w:rPr>
          <w:rFonts w:ascii="Times" w:hAnsi="Times" w:cs="Times"/>
          <w:color w:val="000000"/>
        </w:rPr>
        <w:t>Conchas</w:t>
      </w:r>
      <w:proofErr w:type="spellEnd"/>
      <w:r w:rsidRPr="00B130EF">
        <w:rPr>
          <w:rFonts w:ascii="Times" w:hAnsi="Times" w:cs="Times"/>
          <w:color w:val="000000"/>
        </w:rPr>
        <w:t xml:space="preserve">, 2001; Hopson &amp; Lee, 2011; Pollock &amp; </w:t>
      </w:r>
      <w:proofErr w:type="spellStart"/>
      <w:r w:rsidRPr="00B130EF">
        <w:rPr>
          <w:rFonts w:ascii="Times" w:hAnsi="Times" w:cs="Times"/>
          <w:color w:val="000000"/>
        </w:rPr>
        <w:t>Amaechi</w:t>
      </w:r>
      <w:proofErr w:type="spellEnd"/>
      <w:r w:rsidRPr="00B130EF">
        <w:rPr>
          <w:rFonts w:ascii="Times" w:hAnsi="Times" w:cs="Times"/>
          <w:color w:val="000000"/>
        </w:rPr>
        <w:t xml:space="preserve">, 2013). Such structures could include loop- </w:t>
      </w:r>
      <w:proofErr w:type="spellStart"/>
      <w:r w:rsidRPr="00B130EF">
        <w:rPr>
          <w:rFonts w:ascii="Times" w:hAnsi="Times" w:cs="Times"/>
          <w:color w:val="000000"/>
        </w:rPr>
        <w:t>ing</w:t>
      </w:r>
      <w:proofErr w:type="spellEnd"/>
      <w:r w:rsidRPr="00B130EF">
        <w:rPr>
          <w:rFonts w:ascii="Times" w:hAnsi="Times" w:cs="Times"/>
          <w:color w:val="000000"/>
        </w:rPr>
        <w:t xml:space="preserve">, in which a teacher will teach the same students two or more years in a row; academies, in which a group of teachers “share” the same students as a school-within-a-school; and professional learning communities (PLCs), in which teachers are given significant time to plan, collaborate, and engage in </w:t>
      </w:r>
    </w:p>
    <w:p w14:paraId="2FA8979A"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b/>
          <w:bCs/>
          <w:color w:val="000000"/>
        </w:rPr>
        <w:t xml:space="preserve">222 </w:t>
      </w:r>
    </w:p>
    <w:p w14:paraId="71CCAFE8"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 xml:space="preserve">professional development activities together. Teachers who are afforded more time with students and who are trained to be intentional in developing </w:t>
      </w:r>
      <w:proofErr w:type="spellStart"/>
      <w:r w:rsidRPr="00B130EF">
        <w:rPr>
          <w:rFonts w:ascii="Times" w:hAnsi="Times" w:cs="Times"/>
          <w:color w:val="000000"/>
        </w:rPr>
        <w:t>rela</w:t>
      </w:r>
      <w:proofErr w:type="spellEnd"/>
      <w:r w:rsidRPr="00B130EF">
        <w:rPr>
          <w:rFonts w:ascii="Times" w:hAnsi="Times" w:cs="Times"/>
          <w:color w:val="000000"/>
        </w:rPr>
        <w:t xml:space="preserve">- </w:t>
      </w:r>
      <w:proofErr w:type="spellStart"/>
      <w:r w:rsidRPr="00B130EF">
        <w:rPr>
          <w:rFonts w:ascii="Times" w:hAnsi="Times" w:cs="Times"/>
          <w:color w:val="000000"/>
        </w:rPr>
        <w:t>tionships</w:t>
      </w:r>
      <w:proofErr w:type="spellEnd"/>
      <w:r w:rsidRPr="00B130EF">
        <w:rPr>
          <w:rFonts w:ascii="Times" w:hAnsi="Times" w:cs="Times"/>
          <w:color w:val="000000"/>
        </w:rPr>
        <w:t xml:space="preserve"> with students can learn their unique stories and subsequently provide classroom supports through lessons that allow students to express their </w:t>
      </w:r>
      <w:proofErr w:type="spellStart"/>
      <w:r w:rsidRPr="00B130EF">
        <w:rPr>
          <w:rFonts w:ascii="Times" w:hAnsi="Times" w:cs="Times"/>
          <w:color w:val="000000"/>
        </w:rPr>
        <w:t>expe</w:t>
      </w:r>
      <w:proofErr w:type="spellEnd"/>
      <w:r w:rsidRPr="00B130EF">
        <w:rPr>
          <w:rFonts w:ascii="Times" w:hAnsi="Times" w:cs="Times"/>
          <w:color w:val="000000"/>
        </w:rPr>
        <w:t xml:space="preserve">- </w:t>
      </w:r>
      <w:proofErr w:type="spellStart"/>
      <w:r w:rsidRPr="00B130EF">
        <w:rPr>
          <w:rFonts w:ascii="Times" w:hAnsi="Times" w:cs="Times"/>
          <w:color w:val="000000"/>
        </w:rPr>
        <w:t>riences</w:t>
      </w:r>
      <w:proofErr w:type="spellEnd"/>
      <w:r w:rsidRPr="00B130EF">
        <w:rPr>
          <w:rFonts w:ascii="Times" w:hAnsi="Times" w:cs="Times"/>
          <w:color w:val="000000"/>
        </w:rPr>
        <w:t>, group work that facilitates friendships with other students, and their own expressions of care, concern, and support (</w:t>
      </w:r>
      <w:proofErr w:type="spellStart"/>
      <w:r w:rsidRPr="00B130EF">
        <w:rPr>
          <w:rFonts w:ascii="Times" w:hAnsi="Times" w:cs="Times"/>
          <w:color w:val="000000"/>
        </w:rPr>
        <w:t>Conchas</w:t>
      </w:r>
      <w:proofErr w:type="spellEnd"/>
      <w:r w:rsidRPr="00B130EF">
        <w:rPr>
          <w:rFonts w:ascii="Times" w:hAnsi="Times" w:cs="Times"/>
          <w:color w:val="000000"/>
        </w:rPr>
        <w:t xml:space="preserve">, 2006; </w:t>
      </w:r>
      <w:proofErr w:type="spellStart"/>
      <w:r w:rsidRPr="00B130EF">
        <w:rPr>
          <w:rFonts w:ascii="Times" w:hAnsi="Times" w:cs="Times"/>
          <w:color w:val="000000"/>
        </w:rPr>
        <w:t>Zentograf</w:t>
      </w:r>
      <w:proofErr w:type="spellEnd"/>
      <w:r w:rsidRPr="00B130EF">
        <w:rPr>
          <w:rFonts w:ascii="Times" w:hAnsi="Times" w:cs="Times"/>
          <w:color w:val="000000"/>
        </w:rPr>
        <w:t xml:space="preserve"> &amp; Chinchilla, 2012). As teachers understand their students more fully and work together to raise student achievement, they can help develop engaging lessons that utilize students’ existing knowledge and celebrate their unique strengths (Cooper, Gonzalez, &amp; Wilson, 2014; Moll, </w:t>
      </w:r>
      <w:proofErr w:type="spellStart"/>
      <w:r w:rsidRPr="00B130EF">
        <w:rPr>
          <w:rFonts w:ascii="Times" w:hAnsi="Times" w:cs="Times"/>
          <w:color w:val="000000"/>
        </w:rPr>
        <w:t>Amanti</w:t>
      </w:r>
      <w:proofErr w:type="spellEnd"/>
      <w:r w:rsidRPr="00B130EF">
        <w:rPr>
          <w:rFonts w:ascii="Times" w:hAnsi="Times" w:cs="Times"/>
          <w:color w:val="000000"/>
        </w:rPr>
        <w:t xml:space="preserve">, Neff, &amp; Gonzalez, 1992). </w:t>
      </w:r>
    </w:p>
    <w:p w14:paraId="548543A0"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 xml:space="preserve">One of the greatest ways a school can serve immigrant students is to provide them with the skills and knowledge that will allow them to develop a sense of purpose and efficacy in their lives as well as open doors to upward mobility. The literature consistently ties overall academic achievement, and especially </w:t>
      </w:r>
      <w:proofErr w:type="spellStart"/>
      <w:r w:rsidRPr="00B130EF">
        <w:rPr>
          <w:rFonts w:ascii="Times" w:hAnsi="Times" w:cs="Times"/>
          <w:color w:val="000000"/>
        </w:rPr>
        <w:t>Eng</w:t>
      </w:r>
      <w:proofErr w:type="spellEnd"/>
      <w:r w:rsidRPr="00B130EF">
        <w:rPr>
          <w:rFonts w:ascii="Times" w:hAnsi="Times" w:cs="Times"/>
          <w:color w:val="000000"/>
        </w:rPr>
        <w:t xml:space="preserve">- </w:t>
      </w:r>
      <w:proofErr w:type="spellStart"/>
      <w:r w:rsidRPr="00B130EF">
        <w:rPr>
          <w:rFonts w:ascii="Times" w:hAnsi="Times" w:cs="Times"/>
          <w:color w:val="000000"/>
        </w:rPr>
        <w:t>lish</w:t>
      </w:r>
      <w:proofErr w:type="spellEnd"/>
      <w:r w:rsidRPr="00B130EF">
        <w:rPr>
          <w:rFonts w:ascii="Times" w:hAnsi="Times" w:cs="Times"/>
          <w:color w:val="000000"/>
        </w:rPr>
        <w:t xml:space="preserve"> literacy skill development, with positive adaptive processes (Schapiro et al., 2013; </w:t>
      </w:r>
      <w:proofErr w:type="spellStart"/>
      <w:r w:rsidRPr="00B130EF">
        <w:rPr>
          <w:rFonts w:ascii="Times" w:hAnsi="Times" w:cs="Times"/>
          <w:color w:val="000000"/>
        </w:rPr>
        <w:t>Zentograf</w:t>
      </w:r>
      <w:proofErr w:type="spellEnd"/>
      <w:r w:rsidRPr="00B130EF">
        <w:rPr>
          <w:rFonts w:ascii="Times" w:hAnsi="Times" w:cs="Times"/>
          <w:color w:val="000000"/>
        </w:rPr>
        <w:t xml:space="preserve"> &amp; Chinchilla, 2012). One key way in which schools support such academic achievement is through engagement in rigorous work with high expectations for performance. Cooperative learning within the classroom is another strategy that can assist immigrant students in positive adaptation, as it enables supportive peer relationships that can assist with academic and social development. These strategies, while helpful for all students’ learning, can have added impact for students experiencing immigration separation who face ad- </w:t>
      </w:r>
      <w:proofErr w:type="spellStart"/>
      <w:r w:rsidRPr="00B130EF">
        <w:rPr>
          <w:rFonts w:ascii="Times" w:hAnsi="Times" w:cs="Times"/>
          <w:color w:val="000000"/>
        </w:rPr>
        <w:t>ditional</w:t>
      </w:r>
      <w:proofErr w:type="spellEnd"/>
      <w:r w:rsidRPr="00B130EF">
        <w:rPr>
          <w:rFonts w:ascii="Times" w:hAnsi="Times" w:cs="Times"/>
          <w:color w:val="000000"/>
        </w:rPr>
        <w:t xml:space="preserve"> barriers to full engagement in schools (</w:t>
      </w:r>
      <w:proofErr w:type="spellStart"/>
      <w:r w:rsidRPr="00B130EF">
        <w:rPr>
          <w:rFonts w:ascii="Times" w:hAnsi="Times" w:cs="Times"/>
          <w:color w:val="000000"/>
        </w:rPr>
        <w:t>Slavin</w:t>
      </w:r>
      <w:proofErr w:type="spellEnd"/>
      <w:r w:rsidRPr="00B130EF">
        <w:rPr>
          <w:rFonts w:ascii="Times" w:hAnsi="Times" w:cs="Times"/>
          <w:color w:val="000000"/>
        </w:rPr>
        <w:t xml:space="preserve"> &amp; </w:t>
      </w:r>
      <w:proofErr w:type="spellStart"/>
      <w:r w:rsidRPr="00B130EF">
        <w:rPr>
          <w:rFonts w:ascii="Times" w:hAnsi="Times" w:cs="Times"/>
          <w:color w:val="000000"/>
        </w:rPr>
        <w:t>Calderón</w:t>
      </w:r>
      <w:proofErr w:type="spellEnd"/>
      <w:r w:rsidRPr="00B130EF">
        <w:rPr>
          <w:rFonts w:ascii="Times" w:hAnsi="Times" w:cs="Times"/>
          <w:color w:val="000000"/>
        </w:rPr>
        <w:t xml:space="preserve">, 2009. </w:t>
      </w:r>
    </w:p>
    <w:p w14:paraId="17804425"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 xml:space="preserve">Peer Relationships and Other Supports </w:t>
      </w:r>
    </w:p>
    <w:p w14:paraId="2EC2EBF3"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 xml:space="preserve">The literature on the trauma of family separation and reunification con- </w:t>
      </w:r>
      <w:proofErr w:type="spellStart"/>
      <w:r w:rsidRPr="00B130EF">
        <w:rPr>
          <w:rFonts w:ascii="Times" w:hAnsi="Times" w:cs="Times"/>
          <w:color w:val="000000"/>
        </w:rPr>
        <w:t>sistently</w:t>
      </w:r>
      <w:proofErr w:type="spellEnd"/>
      <w:r w:rsidRPr="00B130EF">
        <w:rPr>
          <w:rFonts w:ascii="Times" w:hAnsi="Times" w:cs="Times"/>
          <w:color w:val="000000"/>
        </w:rPr>
        <w:t xml:space="preserve"> points to the promise of peer support groups in assisting students to process their experiences in a healthy way (</w:t>
      </w:r>
      <w:proofErr w:type="spellStart"/>
      <w:r w:rsidRPr="00B130EF">
        <w:rPr>
          <w:rFonts w:ascii="Times" w:hAnsi="Times" w:cs="Times"/>
          <w:color w:val="000000"/>
        </w:rPr>
        <w:t>Potochnick</w:t>
      </w:r>
      <w:proofErr w:type="spellEnd"/>
      <w:r w:rsidRPr="00B130EF">
        <w:rPr>
          <w:rFonts w:ascii="Times" w:hAnsi="Times" w:cs="Times"/>
          <w:color w:val="000000"/>
        </w:rPr>
        <w:t xml:space="preserve"> &amp; </w:t>
      </w:r>
      <w:proofErr w:type="spellStart"/>
      <w:r w:rsidRPr="00B130EF">
        <w:rPr>
          <w:rFonts w:ascii="Times" w:hAnsi="Times" w:cs="Times"/>
          <w:color w:val="000000"/>
        </w:rPr>
        <w:t>Perreira</w:t>
      </w:r>
      <w:proofErr w:type="spellEnd"/>
      <w:r w:rsidRPr="00B130EF">
        <w:rPr>
          <w:rFonts w:ascii="Times" w:hAnsi="Times" w:cs="Times"/>
          <w:color w:val="000000"/>
        </w:rPr>
        <w:t xml:space="preserve">, 2010; Schapiro et al., 2013; </w:t>
      </w:r>
      <w:proofErr w:type="spellStart"/>
      <w:r w:rsidRPr="00B130EF">
        <w:rPr>
          <w:rFonts w:ascii="Times" w:hAnsi="Times" w:cs="Times"/>
          <w:color w:val="000000"/>
        </w:rPr>
        <w:t>Zentograf</w:t>
      </w:r>
      <w:proofErr w:type="spellEnd"/>
      <w:r w:rsidRPr="00B130EF">
        <w:rPr>
          <w:rFonts w:ascii="Times" w:hAnsi="Times" w:cs="Times"/>
          <w:color w:val="000000"/>
        </w:rPr>
        <w:t xml:space="preserve"> &amp; Chinchilla, 2012). These can potential- </w:t>
      </w:r>
      <w:proofErr w:type="spellStart"/>
      <w:r w:rsidRPr="00B130EF">
        <w:rPr>
          <w:rFonts w:ascii="Times" w:hAnsi="Times" w:cs="Times"/>
          <w:color w:val="000000"/>
        </w:rPr>
        <w:t>ly</w:t>
      </w:r>
      <w:proofErr w:type="spellEnd"/>
      <w:r w:rsidRPr="00B130EF">
        <w:rPr>
          <w:rFonts w:ascii="Times" w:hAnsi="Times" w:cs="Times"/>
          <w:color w:val="000000"/>
        </w:rPr>
        <w:t xml:space="preserve"> occur both in clinical sessions, where students with similar immigration experiences meet together, or in classrooms, in which students are grouped more heterogeneously for learning activities. Cooperative learning has ben- </w:t>
      </w:r>
      <w:proofErr w:type="spellStart"/>
      <w:r w:rsidRPr="00B130EF">
        <w:rPr>
          <w:rFonts w:ascii="Times" w:hAnsi="Times" w:cs="Times"/>
          <w:color w:val="000000"/>
        </w:rPr>
        <w:t>efits</w:t>
      </w:r>
      <w:proofErr w:type="spellEnd"/>
      <w:r w:rsidRPr="00B130EF">
        <w:rPr>
          <w:rFonts w:ascii="Times" w:hAnsi="Times" w:cs="Times"/>
          <w:color w:val="000000"/>
        </w:rPr>
        <w:t xml:space="preserve"> in terms of both academic learning and social development; additionally, research indicates that interactions with native-speaking peers can assist more rapid English language development, thus removing a key barrier to </w:t>
      </w:r>
      <w:proofErr w:type="spellStart"/>
      <w:r w:rsidRPr="00B130EF">
        <w:rPr>
          <w:rFonts w:ascii="Times" w:hAnsi="Times" w:cs="Times"/>
          <w:color w:val="000000"/>
        </w:rPr>
        <w:t>adapta</w:t>
      </w:r>
      <w:proofErr w:type="spellEnd"/>
      <w:r w:rsidRPr="00B130EF">
        <w:rPr>
          <w:rFonts w:ascii="Times" w:hAnsi="Times" w:cs="Times"/>
          <w:color w:val="000000"/>
        </w:rPr>
        <w:t xml:space="preserve">- </w:t>
      </w:r>
      <w:proofErr w:type="spellStart"/>
      <w:r w:rsidRPr="00B130EF">
        <w:rPr>
          <w:rFonts w:ascii="Times" w:hAnsi="Times" w:cs="Times"/>
          <w:color w:val="000000"/>
        </w:rPr>
        <w:t>tion</w:t>
      </w:r>
      <w:proofErr w:type="spellEnd"/>
      <w:r w:rsidRPr="00B130EF">
        <w:rPr>
          <w:rFonts w:ascii="Times" w:hAnsi="Times" w:cs="Times"/>
          <w:color w:val="000000"/>
        </w:rPr>
        <w:t xml:space="preserve"> (</w:t>
      </w:r>
      <w:proofErr w:type="spellStart"/>
      <w:r w:rsidRPr="00B130EF">
        <w:rPr>
          <w:rFonts w:ascii="Times" w:hAnsi="Times" w:cs="Times"/>
          <w:color w:val="000000"/>
        </w:rPr>
        <w:t>Hakuta</w:t>
      </w:r>
      <w:proofErr w:type="spellEnd"/>
      <w:r w:rsidRPr="00B130EF">
        <w:rPr>
          <w:rFonts w:ascii="Times" w:hAnsi="Times" w:cs="Times"/>
          <w:color w:val="000000"/>
        </w:rPr>
        <w:t xml:space="preserve">, Butler, &amp; Witt, 2000; Valenzuela, 2005). Additionally, access to clubs and other such structures promoting positive ethnic identity through relationships with </w:t>
      </w:r>
      <w:proofErr w:type="spellStart"/>
      <w:r w:rsidRPr="00B130EF">
        <w:rPr>
          <w:rFonts w:ascii="Times" w:hAnsi="Times" w:cs="Times"/>
          <w:color w:val="000000"/>
        </w:rPr>
        <w:t>coethnic</w:t>
      </w:r>
      <w:proofErr w:type="spellEnd"/>
      <w:r w:rsidRPr="00B130EF">
        <w:rPr>
          <w:rFonts w:ascii="Times" w:hAnsi="Times" w:cs="Times"/>
          <w:color w:val="000000"/>
        </w:rPr>
        <w:t xml:space="preserve"> peers can act as a protective factor for immigrant students against discrimination, another significant stressor and barrier to </w:t>
      </w:r>
      <w:proofErr w:type="spellStart"/>
      <w:r w:rsidRPr="00B130EF">
        <w:rPr>
          <w:rFonts w:ascii="Times" w:hAnsi="Times" w:cs="Times"/>
          <w:color w:val="000000"/>
        </w:rPr>
        <w:t>posi</w:t>
      </w:r>
      <w:proofErr w:type="spellEnd"/>
      <w:r w:rsidRPr="00B130EF">
        <w:rPr>
          <w:rFonts w:ascii="Times" w:hAnsi="Times" w:cs="Times"/>
          <w:color w:val="000000"/>
        </w:rPr>
        <w:t xml:space="preserve">- </w:t>
      </w:r>
      <w:proofErr w:type="spellStart"/>
      <w:r w:rsidRPr="00B130EF">
        <w:rPr>
          <w:rFonts w:ascii="Times" w:hAnsi="Times" w:cs="Times"/>
          <w:color w:val="000000"/>
        </w:rPr>
        <w:t>tive</w:t>
      </w:r>
      <w:proofErr w:type="spellEnd"/>
      <w:r w:rsidRPr="00B130EF">
        <w:rPr>
          <w:rFonts w:ascii="Times" w:hAnsi="Times" w:cs="Times"/>
          <w:color w:val="000000"/>
        </w:rPr>
        <w:t xml:space="preserve"> adaptation for immigrant children (Silver, 2015). Peer relationships are </w:t>
      </w:r>
    </w:p>
    <w:p w14:paraId="06E29F13"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b/>
          <w:bCs/>
          <w:color w:val="000000"/>
        </w:rPr>
        <w:t xml:space="preserve">LATINO FAMILY SEPARATION </w:t>
      </w:r>
    </w:p>
    <w:p w14:paraId="3EFD4E8E"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b/>
          <w:bCs/>
          <w:color w:val="000000"/>
        </w:rPr>
        <w:t xml:space="preserve">223 </w:t>
      </w:r>
    </w:p>
    <w:p w14:paraId="16BB6F56"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b/>
          <w:bCs/>
          <w:color w:val="000000"/>
        </w:rPr>
        <w:t xml:space="preserve">SCHOOL COMMUNITY JOURNAL </w:t>
      </w:r>
    </w:p>
    <w:p w14:paraId="2FAAF03D"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 xml:space="preserve">particularly important in supporting immigrant students’ sense of belong- </w:t>
      </w:r>
      <w:proofErr w:type="spellStart"/>
      <w:r w:rsidRPr="00B130EF">
        <w:rPr>
          <w:rFonts w:ascii="Times" w:hAnsi="Times" w:cs="Times"/>
          <w:color w:val="000000"/>
        </w:rPr>
        <w:t>ing</w:t>
      </w:r>
      <w:proofErr w:type="spellEnd"/>
      <w:r w:rsidRPr="00B130EF">
        <w:rPr>
          <w:rFonts w:ascii="Times" w:hAnsi="Times" w:cs="Times"/>
          <w:color w:val="000000"/>
        </w:rPr>
        <w:t xml:space="preserve"> and awareness of how to navigate life in the U.S. (</w:t>
      </w:r>
      <w:proofErr w:type="spellStart"/>
      <w:r w:rsidRPr="00B130EF">
        <w:rPr>
          <w:rFonts w:ascii="Times" w:hAnsi="Times" w:cs="Times"/>
          <w:color w:val="000000"/>
        </w:rPr>
        <w:t>Potochnick</w:t>
      </w:r>
      <w:proofErr w:type="spellEnd"/>
      <w:r w:rsidRPr="00B130EF">
        <w:rPr>
          <w:rFonts w:ascii="Times" w:hAnsi="Times" w:cs="Times"/>
          <w:color w:val="000000"/>
        </w:rPr>
        <w:t xml:space="preserve"> &amp; </w:t>
      </w:r>
      <w:proofErr w:type="spellStart"/>
      <w:r w:rsidRPr="00B130EF">
        <w:rPr>
          <w:rFonts w:ascii="Times" w:hAnsi="Times" w:cs="Times"/>
          <w:color w:val="000000"/>
        </w:rPr>
        <w:t>Perreira</w:t>
      </w:r>
      <w:proofErr w:type="spellEnd"/>
      <w:r w:rsidRPr="00B130EF">
        <w:rPr>
          <w:rFonts w:ascii="Times" w:hAnsi="Times" w:cs="Times"/>
          <w:color w:val="000000"/>
        </w:rPr>
        <w:t xml:space="preserve">, 2010; Schapiro et al., 2013). </w:t>
      </w:r>
    </w:p>
    <w:p w14:paraId="4BCF1E44" w14:textId="77777777" w:rsidR="00B130EF" w:rsidRP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b/>
          <w:bCs/>
          <w:color w:val="000000"/>
        </w:rPr>
        <w:t xml:space="preserve">Conclusion </w:t>
      </w:r>
    </w:p>
    <w:p w14:paraId="63C8E2D4" w14:textId="4CFF57F8" w:rsidR="00B130EF" w:rsidRDefault="00B130EF" w:rsidP="00B130EF">
      <w:pPr>
        <w:widowControl w:val="0"/>
        <w:autoSpaceDE w:val="0"/>
        <w:autoSpaceDN w:val="0"/>
        <w:adjustRightInd w:val="0"/>
        <w:spacing w:after="240" w:line="280" w:lineRule="atLeast"/>
        <w:rPr>
          <w:rFonts w:ascii="Times" w:hAnsi="Times" w:cs="Times"/>
          <w:color w:val="000000"/>
        </w:rPr>
      </w:pPr>
      <w:r w:rsidRPr="00B130EF">
        <w:rPr>
          <w:rFonts w:ascii="Times" w:hAnsi="Times" w:cs="Times"/>
          <w:color w:val="000000"/>
        </w:rPr>
        <w:t xml:space="preserve">For children, the process of immigration can take a heavy toll both in- </w:t>
      </w:r>
      <w:proofErr w:type="spellStart"/>
      <w:r w:rsidRPr="00B130EF">
        <w:rPr>
          <w:rFonts w:ascii="Times" w:hAnsi="Times" w:cs="Times"/>
          <w:color w:val="000000"/>
        </w:rPr>
        <w:t>terpersonally</w:t>
      </w:r>
      <w:proofErr w:type="spellEnd"/>
      <w:r w:rsidRPr="00B130EF">
        <w:rPr>
          <w:rFonts w:ascii="Times" w:hAnsi="Times" w:cs="Times"/>
          <w:color w:val="000000"/>
        </w:rPr>
        <w:t xml:space="preserve"> and </w:t>
      </w:r>
      <w:proofErr w:type="spellStart"/>
      <w:r w:rsidRPr="00B130EF">
        <w:rPr>
          <w:rFonts w:ascii="Times" w:hAnsi="Times" w:cs="Times"/>
          <w:color w:val="000000"/>
        </w:rPr>
        <w:t>intrapersonally</w:t>
      </w:r>
      <w:proofErr w:type="spellEnd"/>
      <w:r w:rsidRPr="00B130EF">
        <w:rPr>
          <w:rFonts w:ascii="Times" w:hAnsi="Times" w:cs="Times"/>
          <w:color w:val="000000"/>
        </w:rPr>
        <w:t>, often with negative academic consequences. Schools have the power to act as a positive influence in the lives of newly immigrated students and their families through concerted efforts both inside and outside the classroom. Within the classroom, a high level of expectation coupled with highly relational teachers, positive peer relationships, and sup- ports for knowledge and skill development are helpful to students. Outside the classroom, school–family partnerships and collaboration with other supportive programs and/or community resources all create an environment focused on meeting the needs of students and their families. Such efforts help in removing the barriers to successful integration into U.S. schools for immigrant children and also increase the chances of better socia</w:t>
      </w:r>
      <w:r w:rsidR="00E7239F">
        <w:rPr>
          <w:rFonts w:ascii="Times" w:hAnsi="Times" w:cs="Times"/>
          <w:color w:val="000000"/>
        </w:rPr>
        <w:t>l/emotional adjustment for stu</w:t>
      </w:r>
      <w:r w:rsidRPr="00B130EF">
        <w:rPr>
          <w:rFonts w:ascii="Times" w:hAnsi="Times" w:cs="Times"/>
          <w:color w:val="000000"/>
        </w:rPr>
        <w:t xml:space="preserve">dents experiencing the stresses of family separation and immigration. </w:t>
      </w:r>
    </w:p>
    <w:p w14:paraId="54CD131E" w14:textId="77777777" w:rsidR="00E7239F" w:rsidRDefault="00E7239F" w:rsidP="00B130EF">
      <w:pPr>
        <w:widowControl w:val="0"/>
        <w:autoSpaceDE w:val="0"/>
        <w:autoSpaceDN w:val="0"/>
        <w:adjustRightInd w:val="0"/>
        <w:spacing w:after="240" w:line="280" w:lineRule="atLeast"/>
        <w:rPr>
          <w:rFonts w:ascii="Times" w:hAnsi="Times" w:cs="Times"/>
          <w:color w:val="000000"/>
        </w:rPr>
      </w:pPr>
    </w:p>
    <w:p w14:paraId="6336A664" w14:textId="77777777" w:rsidR="00B86475" w:rsidRDefault="00B86475" w:rsidP="00B86475">
      <w:pPr>
        <w:widowControl w:val="0"/>
        <w:autoSpaceDE w:val="0"/>
        <w:autoSpaceDN w:val="0"/>
        <w:adjustRightInd w:val="0"/>
        <w:spacing w:after="240" w:line="280" w:lineRule="atLeast"/>
        <w:jc w:val="center"/>
        <w:rPr>
          <w:rFonts w:ascii="Times" w:hAnsi="Times" w:cs="Times"/>
          <w:color w:val="000000"/>
          <w:sz w:val="28"/>
          <w:highlight w:val="yellow"/>
        </w:rPr>
      </w:pPr>
    </w:p>
    <w:p w14:paraId="429A3F71" w14:textId="77777777" w:rsidR="00B86475" w:rsidRDefault="00B86475" w:rsidP="00B86475">
      <w:pPr>
        <w:widowControl w:val="0"/>
        <w:autoSpaceDE w:val="0"/>
        <w:autoSpaceDN w:val="0"/>
        <w:adjustRightInd w:val="0"/>
        <w:spacing w:after="240" w:line="280" w:lineRule="atLeast"/>
        <w:jc w:val="center"/>
        <w:rPr>
          <w:rFonts w:ascii="Times" w:hAnsi="Times" w:cs="Times"/>
          <w:color w:val="000000"/>
          <w:sz w:val="28"/>
          <w:highlight w:val="yellow"/>
        </w:rPr>
      </w:pPr>
    </w:p>
    <w:p w14:paraId="3280A838" w14:textId="77777777" w:rsidR="00B86475" w:rsidRDefault="00B86475" w:rsidP="00B86475">
      <w:pPr>
        <w:widowControl w:val="0"/>
        <w:autoSpaceDE w:val="0"/>
        <w:autoSpaceDN w:val="0"/>
        <w:adjustRightInd w:val="0"/>
        <w:spacing w:after="240" w:line="280" w:lineRule="atLeast"/>
        <w:jc w:val="center"/>
        <w:rPr>
          <w:rFonts w:ascii="Times" w:hAnsi="Times" w:cs="Times"/>
          <w:color w:val="000000"/>
          <w:sz w:val="28"/>
          <w:highlight w:val="yellow"/>
        </w:rPr>
      </w:pPr>
    </w:p>
    <w:p w14:paraId="0CC241D7" w14:textId="77777777" w:rsidR="00B86475" w:rsidRDefault="00B86475" w:rsidP="00B86475">
      <w:pPr>
        <w:widowControl w:val="0"/>
        <w:autoSpaceDE w:val="0"/>
        <w:autoSpaceDN w:val="0"/>
        <w:adjustRightInd w:val="0"/>
        <w:spacing w:after="240" w:line="280" w:lineRule="atLeast"/>
        <w:jc w:val="center"/>
        <w:rPr>
          <w:rFonts w:ascii="Times" w:hAnsi="Times" w:cs="Times"/>
          <w:color w:val="000000"/>
          <w:sz w:val="28"/>
          <w:highlight w:val="yellow"/>
        </w:rPr>
      </w:pPr>
    </w:p>
    <w:p w14:paraId="13649240" w14:textId="77777777" w:rsidR="00B86475" w:rsidRDefault="00B86475" w:rsidP="00B86475">
      <w:pPr>
        <w:widowControl w:val="0"/>
        <w:autoSpaceDE w:val="0"/>
        <w:autoSpaceDN w:val="0"/>
        <w:adjustRightInd w:val="0"/>
        <w:spacing w:after="240" w:line="280" w:lineRule="atLeast"/>
        <w:jc w:val="center"/>
        <w:rPr>
          <w:rFonts w:ascii="Times" w:hAnsi="Times" w:cs="Times"/>
          <w:color w:val="000000"/>
          <w:sz w:val="28"/>
          <w:highlight w:val="yellow"/>
        </w:rPr>
      </w:pPr>
    </w:p>
    <w:p w14:paraId="144B5D1F" w14:textId="77777777" w:rsidR="00B86475" w:rsidRDefault="00B86475" w:rsidP="00B86475">
      <w:pPr>
        <w:widowControl w:val="0"/>
        <w:autoSpaceDE w:val="0"/>
        <w:autoSpaceDN w:val="0"/>
        <w:adjustRightInd w:val="0"/>
        <w:spacing w:after="240" w:line="280" w:lineRule="atLeast"/>
        <w:jc w:val="center"/>
        <w:rPr>
          <w:rFonts w:ascii="Times" w:hAnsi="Times" w:cs="Times"/>
          <w:color w:val="000000"/>
          <w:sz w:val="28"/>
          <w:highlight w:val="yellow"/>
        </w:rPr>
      </w:pPr>
    </w:p>
    <w:p w14:paraId="663A56C7" w14:textId="77777777" w:rsidR="00B86475" w:rsidRDefault="009C6B50" w:rsidP="00B86475">
      <w:pPr>
        <w:widowControl w:val="0"/>
        <w:autoSpaceDE w:val="0"/>
        <w:autoSpaceDN w:val="0"/>
        <w:adjustRightInd w:val="0"/>
        <w:spacing w:after="240" w:line="280" w:lineRule="atLeast"/>
        <w:jc w:val="center"/>
        <w:rPr>
          <w:rFonts w:ascii="Times" w:hAnsi="Times" w:cs="Times"/>
          <w:color w:val="000000"/>
        </w:rPr>
      </w:pPr>
      <w:r w:rsidRPr="009C6B50">
        <w:rPr>
          <w:rFonts w:ascii="Times" w:hAnsi="Times" w:cs="Times"/>
          <w:color w:val="000000"/>
          <w:sz w:val="28"/>
          <w:highlight w:val="yellow"/>
        </w:rPr>
        <w:t>Academic Journal #4</w:t>
      </w:r>
      <w:r>
        <w:rPr>
          <w:rFonts w:ascii="Times" w:hAnsi="Times" w:cs="Times"/>
          <w:color w:val="000000"/>
          <w:sz w:val="28"/>
        </w:rPr>
        <w:t xml:space="preserve">: </w:t>
      </w:r>
      <w:r w:rsidR="00E7239F" w:rsidRPr="009C6B50">
        <w:rPr>
          <w:rFonts w:ascii="Times" w:hAnsi="Times" w:cs="Times"/>
          <w:color w:val="000000"/>
          <w:sz w:val="28"/>
        </w:rPr>
        <w:t>Self-harm risk between adolescence and midlife in people who experienced</w:t>
      </w:r>
      <w:r w:rsidR="00B86475">
        <w:rPr>
          <w:rFonts w:ascii="Times" w:hAnsi="Times" w:cs="Times"/>
          <w:color w:val="000000"/>
          <w:sz w:val="28"/>
        </w:rPr>
        <w:t xml:space="preserve"> </w:t>
      </w:r>
      <w:r w:rsidR="00E7239F" w:rsidRPr="00B86475">
        <w:rPr>
          <w:rFonts w:ascii="Times" w:hAnsi="Times" w:cs="Times"/>
          <w:color w:val="000000"/>
          <w:sz w:val="28"/>
        </w:rPr>
        <w:t>separation from one or both parents during childhood</w:t>
      </w:r>
      <w:r w:rsidR="00E7239F" w:rsidRPr="00E7239F">
        <w:rPr>
          <w:rFonts w:ascii="Times" w:hAnsi="Times" w:cs="Times"/>
          <w:color w:val="000000"/>
        </w:rPr>
        <w:t xml:space="preserve"> Aske </w:t>
      </w:r>
    </w:p>
    <w:p w14:paraId="79D7B48E" w14:textId="7A1BB8AA" w:rsidR="00B86475" w:rsidRPr="00B86475" w:rsidRDefault="00B86475" w:rsidP="00B86475">
      <w:pPr>
        <w:widowControl w:val="0"/>
        <w:autoSpaceDE w:val="0"/>
        <w:autoSpaceDN w:val="0"/>
        <w:adjustRightInd w:val="0"/>
        <w:spacing w:after="240" w:line="280" w:lineRule="atLeast"/>
        <w:jc w:val="center"/>
        <w:rPr>
          <w:rFonts w:ascii="Times" w:hAnsi="Times" w:cs="Times"/>
          <w:color w:val="000000"/>
          <w:sz w:val="28"/>
        </w:rPr>
      </w:pPr>
      <w:proofErr w:type="spellStart"/>
      <w:proofErr w:type="gramStart"/>
      <w:r>
        <w:rPr>
          <w:rFonts w:ascii="Times" w:hAnsi="Times" w:cs="Times"/>
          <w:color w:val="000000"/>
        </w:rPr>
        <w:t>Authors:</w:t>
      </w:r>
      <w:r w:rsidR="00E7239F" w:rsidRPr="00E7239F">
        <w:rPr>
          <w:rFonts w:ascii="Times" w:hAnsi="Times" w:cs="Times"/>
          <w:color w:val="000000"/>
        </w:rPr>
        <w:t>Astrupa</w:t>
      </w:r>
      <w:proofErr w:type="spellEnd"/>
      <w:proofErr w:type="gramEnd"/>
      <w:r w:rsidR="00E7239F" w:rsidRPr="00E7239F">
        <w:rPr>
          <w:rFonts w:ascii="Times" w:hAnsi="Times" w:cs="Times"/>
          <w:color w:val="000000"/>
        </w:rPr>
        <w:t xml:space="preserve">, Carsten B. </w:t>
      </w:r>
      <w:proofErr w:type="spellStart"/>
      <w:r w:rsidR="00E7239F" w:rsidRPr="00E7239F">
        <w:rPr>
          <w:rFonts w:ascii="Times" w:hAnsi="Times" w:cs="Times"/>
          <w:color w:val="000000"/>
        </w:rPr>
        <w:t>Pedersena,b,c</w:t>
      </w:r>
      <w:proofErr w:type="spellEnd"/>
      <w:r w:rsidR="00E7239F" w:rsidRPr="00E7239F">
        <w:rPr>
          <w:rFonts w:ascii="Times" w:hAnsi="Times" w:cs="Times"/>
          <w:color w:val="000000"/>
        </w:rPr>
        <w:t xml:space="preserve">, Pearl L.H. </w:t>
      </w:r>
      <w:proofErr w:type="spellStart"/>
      <w:r w:rsidR="00E7239F" w:rsidRPr="00E7239F">
        <w:rPr>
          <w:rFonts w:ascii="Times" w:hAnsi="Times" w:cs="Times"/>
          <w:color w:val="000000"/>
        </w:rPr>
        <w:t>Mokd</w:t>
      </w:r>
      <w:proofErr w:type="spellEnd"/>
      <w:r w:rsidR="00E7239F" w:rsidRPr="00E7239F">
        <w:rPr>
          <w:rFonts w:ascii="Times" w:hAnsi="Times" w:cs="Times"/>
          <w:color w:val="000000"/>
        </w:rPr>
        <w:t xml:space="preserve">, Matthew J. </w:t>
      </w:r>
      <w:proofErr w:type="spellStart"/>
      <w:r w:rsidR="00E7239F" w:rsidRPr="00E7239F">
        <w:rPr>
          <w:rFonts w:ascii="Times" w:hAnsi="Times" w:cs="Times"/>
          <w:color w:val="000000"/>
        </w:rPr>
        <w:t>Carrd</w:t>
      </w:r>
      <w:proofErr w:type="spellEnd"/>
      <w:r w:rsidR="00E7239F" w:rsidRPr="00E7239F">
        <w:rPr>
          <w:rFonts w:ascii="Times" w:hAnsi="Times" w:cs="Times"/>
          <w:color w:val="000000"/>
        </w:rPr>
        <w:t xml:space="preserve">, Roger T. </w:t>
      </w:r>
      <w:proofErr w:type="spellStart"/>
      <w:r w:rsidR="00E7239F" w:rsidRPr="00E7239F">
        <w:rPr>
          <w:rFonts w:ascii="Times" w:hAnsi="Times" w:cs="Times"/>
          <w:color w:val="000000"/>
        </w:rPr>
        <w:t>Webbd</w:t>
      </w:r>
      <w:proofErr w:type="spellEnd"/>
      <w:r w:rsidR="00E7239F" w:rsidRPr="00E7239F">
        <w:rPr>
          <w:rFonts w:ascii="Times" w:hAnsi="Times" w:cs="Times"/>
          <w:color w:val="000000"/>
        </w:rPr>
        <w:t xml:space="preserve">, </w:t>
      </w:r>
    </w:p>
    <w:p w14:paraId="077FC226"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1. Introduction </w:t>
      </w:r>
    </w:p>
    <w:p w14:paraId="526863DC" w14:textId="71BB7FB5"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The American Psychological Association has highlighted that more than 9 out of 10 people in Western cultures marry by age 50 years, and that healthy marriages promote wellbeing for children and help to protect them from mental, physical, educational and psychosocial difficulties. However, the Association also reported that around 40– 50% of first marriages in the United States end in divorce, with the divorce rate for subsequent marriages being higher still (http://www. apa.org/topics/divorce/index.aspx). The majority of children whose parents divorce or separate grow up to be well-functioning adults (Hetherington, 1993; </w:t>
      </w:r>
      <w:proofErr w:type="spellStart"/>
      <w:r w:rsidRPr="00E7239F">
        <w:rPr>
          <w:rFonts w:ascii="Times" w:hAnsi="Times" w:cs="Times"/>
          <w:color w:val="000000"/>
        </w:rPr>
        <w:t>Afifi</w:t>
      </w:r>
      <w:proofErr w:type="spellEnd"/>
      <w:r w:rsidRPr="00E7239F">
        <w:rPr>
          <w:rFonts w:ascii="Times" w:hAnsi="Times" w:cs="Times"/>
          <w:color w:val="000000"/>
        </w:rPr>
        <w:t xml:space="preserve"> et al., 2009). However, previous research has demonstrated that exposure to this common phenomenon during childhood is linked with elevated suicidality risk in later years; specifically, attempted suicide and suicidal ideation in the US national population (</w:t>
      </w:r>
      <w:proofErr w:type="spellStart"/>
      <w:r w:rsidRPr="00E7239F">
        <w:rPr>
          <w:rFonts w:ascii="Times" w:hAnsi="Times" w:cs="Times"/>
          <w:color w:val="000000"/>
        </w:rPr>
        <w:t>Afifi</w:t>
      </w:r>
      <w:proofErr w:type="spellEnd"/>
      <w:r w:rsidRPr="00E7239F">
        <w:rPr>
          <w:rFonts w:ascii="Times" w:hAnsi="Times" w:cs="Times"/>
          <w:color w:val="000000"/>
        </w:rPr>
        <w:t xml:space="preserve"> et al., 2009), in Montreal, Canada (</w:t>
      </w:r>
      <w:proofErr w:type="spellStart"/>
      <w:r w:rsidRPr="00E7239F">
        <w:rPr>
          <w:rFonts w:ascii="Times" w:hAnsi="Times" w:cs="Times"/>
          <w:color w:val="000000"/>
        </w:rPr>
        <w:t>Tousignant</w:t>
      </w:r>
      <w:proofErr w:type="spellEnd"/>
      <w:r w:rsidRPr="00E7239F">
        <w:rPr>
          <w:rFonts w:ascii="Times" w:hAnsi="Times" w:cs="Times"/>
          <w:color w:val="000000"/>
        </w:rPr>
        <w:t xml:space="preserve"> et al., 1993) and in Scania, southern Sweden (</w:t>
      </w:r>
      <w:proofErr w:type="spellStart"/>
      <w:r w:rsidRPr="00E7239F">
        <w:rPr>
          <w:rFonts w:ascii="Times" w:hAnsi="Times" w:cs="Times"/>
          <w:color w:val="000000"/>
        </w:rPr>
        <w:t>Lindström</w:t>
      </w:r>
      <w:proofErr w:type="spellEnd"/>
      <w:r w:rsidRPr="00E7239F">
        <w:rPr>
          <w:rFonts w:ascii="Times" w:hAnsi="Times" w:cs="Times"/>
          <w:color w:val="000000"/>
        </w:rPr>
        <w:t xml:space="preserve"> and </w:t>
      </w:r>
      <w:proofErr w:type="spellStart"/>
      <w:r w:rsidRPr="00E7239F">
        <w:rPr>
          <w:rFonts w:ascii="Times" w:hAnsi="Times" w:cs="Times"/>
          <w:color w:val="000000"/>
        </w:rPr>
        <w:t>Rosvall</w:t>
      </w:r>
      <w:proofErr w:type="spellEnd"/>
      <w:r w:rsidRPr="00E7239F">
        <w:rPr>
          <w:rFonts w:ascii="Times" w:hAnsi="Times" w:cs="Times"/>
          <w:color w:val="000000"/>
        </w:rPr>
        <w:t>, 2015); attempted suicide in the US national population (</w:t>
      </w:r>
      <w:proofErr w:type="spellStart"/>
      <w:r w:rsidRPr="00E7239F">
        <w:rPr>
          <w:rFonts w:ascii="Times" w:hAnsi="Times" w:cs="Times"/>
          <w:color w:val="000000"/>
        </w:rPr>
        <w:t>Lizardi</w:t>
      </w:r>
      <w:proofErr w:type="spellEnd"/>
      <w:r w:rsidRPr="00E7239F">
        <w:rPr>
          <w:rFonts w:ascii="Times" w:hAnsi="Times" w:cs="Times"/>
          <w:color w:val="000000"/>
        </w:rPr>
        <w:t xml:space="preserve"> et al., 2009; Alonzo et al., 2014); suicidal ideation in the Canadian national population (Fuller-Thomson and Dalton, 2011); and death by suicide in New York City, USA (Gould et al., 1998). Most children living in developed countries more frequently experience separation from one or both parents than parental death during upbringing, but this exposure may be more strongly linked with the development of psychopathology than the impact of parental loss (Canetti et al., 2000). Despite the existence of a sizeable body of </w:t>
      </w:r>
    </w:p>
    <w:p w14:paraId="09CBC4CB"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Background: Experience of child-parent separation predicts adverse outcomes in later life. We conducted a detailed epidemiological examination of this complex relationship by modelling an array of separation scenarios and trajectories and subsequent risk of self-harm. Methods: This cohort study examined persons born in Denmark during 1971–1997. We measured child-parent separations each year from birth to 15th birthday via complete residential address records in the Civil Registration System. Self-harm episodes between 15th birthday and early middle age were ascertained through linkage to psychiatric and general hospital registers. Incidence rate ratios (IRRs) from Poisson regression models were estimated against a reference category of individuals not separated from their parents. </w:t>
      </w:r>
    </w:p>
    <w:p w14:paraId="6949595D" w14:textId="0925E282"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Results: All exposure models examined indicated an association with raised self-harm risk. For example, large elevations in risk were observed in relation to separation from both parents at 15th birthday (IRR 5.50, 95% CI 5.25–5.77), experiencing five or more changes in child-parent separation status (IRR 5.24, CI 4.88–5.63), and having a shorter duration of familial cohesion during upbringing. There was no significant evidence for varying strength of association according to child's gender. </w:t>
      </w:r>
      <w:r w:rsidR="00B86475" w:rsidRPr="00E7239F">
        <w:rPr>
          <w:rFonts w:ascii="Times" w:hAnsi="Times" w:cs="Times"/>
          <w:color w:val="000000"/>
        </w:rPr>
        <w:t>literature on this topic, strong and consistent evidence is lacking concerning variability in degree of heightened self-harm risk according to which parent the child was separated from, the age at which separation occurred, child's gender, the duration of separation from one or both parents, and the total number of separations and subsequent reunions during a child's upbringing. For example, there are conflicting reports as to which gender has the greater elevation in suicidality risk (</w:t>
      </w:r>
      <w:proofErr w:type="spellStart"/>
      <w:r w:rsidR="00B86475" w:rsidRPr="00E7239F">
        <w:rPr>
          <w:rFonts w:ascii="Times" w:hAnsi="Times" w:cs="Times"/>
          <w:color w:val="000000"/>
        </w:rPr>
        <w:t>Lizardi</w:t>
      </w:r>
      <w:proofErr w:type="spellEnd"/>
      <w:r w:rsidR="00B86475" w:rsidRPr="00E7239F">
        <w:rPr>
          <w:rFonts w:ascii="Times" w:hAnsi="Times" w:cs="Times"/>
          <w:color w:val="000000"/>
        </w:rPr>
        <w:t xml:space="preserve"> et al., 2009; Fuller-Thomson and Dalton, 2011). </w:t>
      </w:r>
    </w:p>
    <w:p w14:paraId="29ECE4AA" w14:textId="39617E6B"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Limitations: Measuring child-parent separation according to differential residential addresses took no account of the reason for or circumstances of these separations. Conclusions: These novel findings suggest that self-harm prevention initiatives should be tailored toward exposed persons who remain psychologically distressed into adulthood. These high-risk subgroups include individuals with little experience of familial cohesion during their upbringing, those with the most complicated trajectories who lived through multiple child-parent separation transitions, and those separated from both parents during early adolescence.  </w:t>
      </w:r>
      <w:r w:rsidRPr="00E7239F">
        <w:rPr>
          <w:rFonts w:ascii="Times" w:hAnsi="Times" w:cs="Times"/>
          <w:color w:val="000000"/>
        </w:rPr>
        <w:drawing>
          <wp:inline distT="0" distB="0" distL="0" distR="0" wp14:anchorId="4D09D60A" wp14:editId="0566E2F6">
            <wp:extent cx="228600" cy="1079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10795"/>
                    </a:xfrm>
                    <a:prstGeom prst="rect">
                      <a:avLst/>
                    </a:prstGeom>
                    <a:noFill/>
                    <a:ln>
                      <a:noFill/>
                    </a:ln>
                  </pic:spPr>
                </pic:pic>
              </a:graphicData>
            </a:graphic>
          </wp:inline>
        </w:drawing>
      </w:r>
    </w:p>
    <w:p w14:paraId="1CDD1323"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i/>
          <w:iCs/>
          <w:color w:val="000000"/>
        </w:rPr>
        <w:t xml:space="preserve">Journal of Affective Disorders 208 (2017) 582–589 </w:t>
      </w:r>
    </w:p>
    <w:p w14:paraId="2892F94D"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To better understand the pathways that link these exposures with elevated self-harm risk, we examined interlinked national Danish administrative registers. This large cohort study provided total </w:t>
      </w:r>
      <w:proofErr w:type="spellStart"/>
      <w:r w:rsidRPr="00E7239F">
        <w:rPr>
          <w:rFonts w:ascii="Times" w:hAnsi="Times" w:cs="Times"/>
          <w:color w:val="000000"/>
        </w:rPr>
        <w:t>popula</w:t>
      </w:r>
      <w:proofErr w:type="spellEnd"/>
      <w:r w:rsidRPr="00E7239F">
        <w:rPr>
          <w:rFonts w:ascii="Times" w:hAnsi="Times" w:cs="Times"/>
          <w:color w:val="000000"/>
        </w:rPr>
        <w:t xml:space="preserve">- </w:t>
      </w:r>
      <w:proofErr w:type="spellStart"/>
      <w:r w:rsidRPr="00E7239F">
        <w:rPr>
          <w:rFonts w:ascii="Times" w:hAnsi="Times" w:cs="Times"/>
          <w:color w:val="000000"/>
        </w:rPr>
        <w:t>tion</w:t>
      </w:r>
      <w:proofErr w:type="spellEnd"/>
      <w:r w:rsidRPr="00E7239F">
        <w:rPr>
          <w:rFonts w:ascii="Times" w:hAnsi="Times" w:cs="Times"/>
          <w:color w:val="000000"/>
        </w:rPr>
        <w:t xml:space="preserve"> coverage and abundant statistical power for modelling the various scenarios and trajectories of child-parent separation and later risk of self-harm. These data sources enabled us to examine all separations from one or both parents according to complete and accurate </w:t>
      </w:r>
      <w:proofErr w:type="spellStart"/>
      <w:r w:rsidRPr="00E7239F">
        <w:rPr>
          <w:rFonts w:ascii="Times" w:hAnsi="Times" w:cs="Times"/>
          <w:color w:val="000000"/>
        </w:rPr>
        <w:t>residen</w:t>
      </w:r>
      <w:proofErr w:type="spellEnd"/>
      <w:r w:rsidRPr="00E7239F">
        <w:rPr>
          <w:rFonts w:ascii="Times" w:hAnsi="Times" w:cs="Times"/>
          <w:color w:val="000000"/>
        </w:rPr>
        <w:t xml:space="preserve">- </w:t>
      </w:r>
      <w:proofErr w:type="spellStart"/>
      <w:r w:rsidRPr="00E7239F">
        <w:rPr>
          <w:rFonts w:ascii="Times" w:hAnsi="Times" w:cs="Times"/>
          <w:color w:val="000000"/>
        </w:rPr>
        <w:t>tial</w:t>
      </w:r>
      <w:proofErr w:type="spellEnd"/>
      <w:r w:rsidRPr="00E7239F">
        <w:rPr>
          <w:rFonts w:ascii="Times" w:hAnsi="Times" w:cs="Times"/>
          <w:color w:val="000000"/>
        </w:rPr>
        <w:t xml:space="preserve"> address information for the whole national population. They also provided us with a rare opportunity to examine adverse outcomes over the longer term (Chase-Lansdale et al., 1995; </w:t>
      </w:r>
      <w:proofErr w:type="spellStart"/>
      <w:r w:rsidRPr="00E7239F">
        <w:rPr>
          <w:rFonts w:ascii="Times" w:hAnsi="Times" w:cs="Times"/>
          <w:color w:val="000000"/>
        </w:rPr>
        <w:t>Jónsson</w:t>
      </w:r>
      <w:proofErr w:type="spellEnd"/>
      <w:r w:rsidRPr="00E7239F">
        <w:rPr>
          <w:rFonts w:ascii="Times" w:hAnsi="Times" w:cs="Times"/>
          <w:color w:val="000000"/>
        </w:rPr>
        <w:t xml:space="preserve"> et al., 2000; </w:t>
      </w:r>
      <w:proofErr w:type="spellStart"/>
      <w:r w:rsidRPr="00E7239F">
        <w:rPr>
          <w:rFonts w:ascii="Times" w:hAnsi="Times" w:cs="Times"/>
          <w:color w:val="000000"/>
        </w:rPr>
        <w:t>Huurre</w:t>
      </w:r>
      <w:proofErr w:type="spellEnd"/>
      <w:r w:rsidRPr="00E7239F">
        <w:rPr>
          <w:rFonts w:ascii="Times" w:hAnsi="Times" w:cs="Times"/>
          <w:color w:val="000000"/>
        </w:rPr>
        <w:t xml:space="preserve"> et al., 2006) well into adult maturity, although the registry data did not enable us to examine self-harm cases with and without suicidal intent separately. Our goal was to generate novel evidence concerning varying approaches to examining exposure to child-parent separation and its association with later self-harm risk, to inform future inter- </w:t>
      </w:r>
      <w:proofErr w:type="spellStart"/>
      <w:r w:rsidRPr="00E7239F">
        <w:rPr>
          <w:rFonts w:ascii="Times" w:hAnsi="Times" w:cs="Times"/>
          <w:color w:val="000000"/>
        </w:rPr>
        <w:t>ventions</w:t>
      </w:r>
      <w:proofErr w:type="spellEnd"/>
      <w:r w:rsidRPr="00E7239F">
        <w:rPr>
          <w:rFonts w:ascii="Times" w:hAnsi="Times" w:cs="Times"/>
          <w:color w:val="000000"/>
        </w:rPr>
        <w:t xml:space="preserve"> and preventive initiatives. </w:t>
      </w:r>
    </w:p>
    <w:p w14:paraId="2972CCFA"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2. Methods </w:t>
      </w:r>
    </w:p>
    <w:p w14:paraId="342E49AB"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2.1. Study population </w:t>
      </w:r>
    </w:p>
    <w:p w14:paraId="6ECCFD76"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This investigation was approved by the Danish Data Protection Agency. The study population consisted of persons born in Denmark from 1st January 1971 to 31st December 1997. The cohort was delineated using the Danish Civil Registration System (CRS) (Pedersen et al., 2006), which has provided continuously updated </w:t>
      </w:r>
      <w:proofErr w:type="spellStart"/>
      <w:r w:rsidRPr="00E7239F">
        <w:rPr>
          <w:rFonts w:ascii="Times" w:hAnsi="Times" w:cs="Times"/>
          <w:color w:val="000000"/>
        </w:rPr>
        <w:t>computerised</w:t>
      </w:r>
      <w:proofErr w:type="spellEnd"/>
      <w:r w:rsidRPr="00E7239F">
        <w:rPr>
          <w:rFonts w:ascii="Times" w:hAnsi="Times" w:cs="Times"/>
          <w:color w:val="000000"/>
        </w:rPr>
        <w:t xml:space="preserve"> data on the whole population since 1968. The CRS routinely captures demographic information, including gender, date of birth, identity of parents and siblings and vital status, on all Danish residents. We restricted the cohort to individuals born in Denmark and living there on their 15th birthday, with both parents also born in Denmark and alive on the cohort member's 15th birthday. </w:t>
      </w:r>
    </w:p>
    <w:p w14:paraId="492477A0"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2.2. Self-harm classification </w:t>
      </w:r>
    </w:p>
    <w:p w14:paraId="170E145D"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Cohort members were linked via their unique personal identifiers to the Danish Psychiatric Central Research Register (Mors et al., 2011), which has recorded all psychiatric admissions since 1969, and to the National Patient Register (</w:t>
      </w:r>
      <w:proofErr w:type="spellStart"/>
      <w:r w:rsidRPr="00E7239F">
        <w:rPr>
          <w:rFonts w:ascii="Times" w:hAnsi="Times" w:cs="Times"/>
          <w:color w:val="000000"/>
        </w:rPr>
        <w:t>Lynge</w:t>
      </w:r>
      <w:proofErr w:type="spellEnd"/>
      <w:r w:rsidRPr="00E7239F">
        <w:rPr>
          <w:rFonts w:ascii="Times" w:hAnsi="Times" w:cs="Times"/>
          <w:color w:val="000000"/>
        </w:rPr>
        <w:t xml:space="preserve"> et al., 2011), which has captured all general hospital admissions since 1977. Both registers have also recorded all outpatient episodes, including emergency room visits, from 1995 and onwards. Diagnoses were made by treating clinicians and assigned according to the Danish modification of the International Classification of Diseases (ICD); 8th revision prior to 1994 (WHO, 1967) and 10th revision from 1994 onwards (WHO, 1992). Self-harm was defined by ICD diagnosis and/or ‘self-harm’ or ‘attempted suicide’ being the recorded reason for hospital contact. We examined follow-up time from 15th birthday to the first subsequent registered self-harm episode. For a more detailed description of the self-harm classification used in this investigation, please see </w:t>
      </w:r>
      <w:proofErr w:type="spellStart"/>
      <w:r w:rsidRPr="00E7239F">
        <w:rPr>
          <w:rFonts w:ascii="Times" w:hAnsi="Times" w:cs="Times"/>
          <w:color w:val="000000"/>
        </w:rPr>
        <w:t>Nordentoft</w:t>
      </w:r>
      <w:proofErr w:type="spellEnd"/>
      <w:r w:rsidRPr="00E7239F">
        <w:rPr>
          <w:rFonts w:ascii="Times" w:hAnsi="Times" w:cs="Times"/>
          <w:color w:val="000000"/>
        </w:rPr>
        <w:t xml:space="preserve"> et al., 2011. </w:t>
      </w:r>
    </w:p>
    <w:p w14:paraId="122FE218"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2.3. Child-parent separation exposure classifications </w:t>
      </w:r>
    </w:p>
    <w:p w14:paraId="52016FEF"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Our measure of child-parent separation was based on complete recording of all periods in which a child did not live with one or both parent/s. Residential addresses have been recorded in the CRS since 1971, and Danish residents are legally required to notify the authorities </w:t>
      </w:r>
    </w:p>
    <w:p w14:paraId="1C300D07"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of any change to their permanent address. Child-parent separation was based on cohort members residing or not residing with their legal parent/s, and was measured at birth and at each birthday from 1st to 15th, inclusive. Separation status was defined as: no separation (living with both parents); paternal separation (living with the mother, but not father); maternal separation (living with father, but not mother); maternal and paternal separation (living with neither parent); or missing (unknown), as in an earlier study by </w:t>
      </w:r>
      <w:proofErr w:type="spellStart"/>
      <w:r w:rsidRPr="00E7239F">
        <w:rPr>
          <w:rFonts w:ascii="Times" w:hAnsi="Times" w:cs="Times"/>
          <w:color w:val="000000"/>
        </w:rPr>
        <w:t>Paksarian</w:t>
      </w:r>
      <w:proofErr w:type="spellEnd"/>
      <w:r w:rsidRPr="00E7239F">
        <w:rPr>
          <w:rFonts w:ascii="Times" w:hAnsi="Times" w:cs="Times"/>
          <w:color w:val="000000"/>
        </w:rPr>
        <w:t xml:space="preserve"> et al. (2015). Persons separated from both parents at birth and who subsequently lived with at least one parent prior to their 15th birthday, along with individuals with missing child-parent separation status information for at least one year, were excluded; i.e. 1.4% of the initial cohort. Children who resided abroad at one of their birthdays prior to their 15th birthday, who accounted for 1.3% of the cohort studied, were included and were assumed to be living with their parent/s if they also lived abroad in the same country. </w:t>
      </w:r>
    </w:p>
    <w:p w14:paraId="7A7079EA"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We examined child-parent separation between birth and 15th birthday using seven different exposure models, and we compared these against each other to better understand the complex association between child-parent separation and elevated self-harm risk. The classifications we examined were as follows: </w:t>
      </w:r>
    </w:p>
    <w:p w14:paraId="480204F0" w14:textId="77777777" w:rsidR="00E7239F" w:rsidRPr="00E7239F" w:rsidRDefault="00E7239F" w:rsidP="00E7239F">
      <w:pPr>
        <w:widowControl w:val="0"/>
        <w:numPr>
          <w:ilvl w:val="0"/>
          <w:numId w:val="1"/>
        </w:numPr>
        <w:autoSpaceDE w:val="0"/>
        <w:autoSpaceDN w:val="0"/>
        <w:adjustRightInd w:val="0"/>
        <w:spacing w:after="240" w:line="280" w:lineRule="atLeast"/>
        <w:rPr>
          <w:rFonts w:ascii="Times" w:hAnsi="Times" w:cs="Times"/>
          <w:color w:val="000000"/>
        </w:rPr>
      </w:pPr>
      <w:r w:rsidRPr="00E7239F">
        <w:rPr>
          <w:rFonts w:ascii="Times" w:hAnsi="Times" w:cs="Times"/>
          <w:color w:val="000000"/>
        </w:rPr>
        <w:t>1)  Child-parent separation status at birth  </w:t>
      </w:r>
    </w:p>
    <w:p w14:paraId="108439A4" w14:textId="77777777" w:rsidR="00E7239F" w:rsidRPr="00E7239F" w:rsidRDefault="00E7239F" w:rsidP="00E7239F">
      <w:pPr>
        <w:widowControl w:val="0"/>
        <w:numPr>
          <w:ilvl w:val="0"/>
          <w:numId w:val="1"/>
        </w:numPr>
        <w:autoSpaceDE w:val="0"/>
        <w:autoSpaceDN w:val="0"/>
        <w:adjustRightInd w:val="0"/>
        <w:spacing w:after="240" w:line="280" w:lineRule="atLeast"/>
        <w:rPr>
          <w:rFonts w:ascii="Times" w:hAnsi="Times" w:cs="Times"/>
          <w:color w:val="000000"/>
        </w:rPr>
      </w:pPr>
      <w:r w:rsidRPr="00E7239F">
        <w:rPr>
          <w:rFonts w:ascii="Times" w:hAnsi="Times" w:cs="Times"/>
          <w:color w:val="000000"/>
        </w:rPr>
        <w:t>2)  Child-parent separation status at 15th birthday  </w:t>
      </w:r>
    </w:p>
    <w:p w14:paraId="3BA402DF" w14:textId="77777777" w:rsidR="00E7239F" w:rsidRPr="00E7239F" w:rsidRDefault="00E7239F" w:rsidP="00E7239F">
      <w:pPr>
        <w:widowControl w:val="0"/>
        <w:numPr>
          <w:ilvl w:val="0"/>
          <w:numId w:val="1"/>
        </w:numPr>
        <w:autoSpaceDE w:val="0"/>
        <w:autoSpaceDN w:val="0"/>
        <w:adjustRightInd w:val="0"/>
        <w:spacing w:after="240" w:line="280" w:lineRule="atLeast"/>
        <w:rPr>
          <w:rFonts w:ascii="Times" w:hAnsi="Times" w:cs="Times"/>
          <w:color w:val="000000"/>
        </w:rPr>
      </w:pPr>
      <w:r w:rsidRPr="00E7239F">
        <w:rPr>
          <w:rFonts w:ascii="Times" w:hAnsi="Times" w:cs="Times"/>
          <w:color w:val="000000"/>
        </w:rPr>
        <w:t>3)  Age at first child-parent separation  </w:t>
      </w:r>
    </w:p>
    <w:p w14:paraId="1E0F0AFE" w14:textId="77777777" w:rsidR="00E7239F" w:rsidRPr="00E7239F" w:rsidRDefault="00E7239F" w:rsidP="00E7239F">
      <w:pPr>
        <w:widowControl w:val="0"/>
        <w:numPr>
          <w:ilvl w:val="0"/>
          <w:numId w:val="1"/>
        </w:numPr>
        <w:autoSpaceDE w:val="0"/>
        <w:autoSpaceDN w:val="0"/>
        <w:adjustRightInd w:val="0"/>
        <w:spacing w:after="240" w:line="280" w:lineRule="atLeast"/>
        <w:rPr>
          <w:rFonts w:ascii="Times" w:hAnsi="Times" w:cs="Times"/>
          <w:color w:val="000000"/>
        </w:rPr>
      </w:pPr>
      <w:r w:rsidRPr="00E7239F">
        <w:rPr>
          <w:rFonts w:ascii="Times" w:hAnsi="Times" w:cs="Times"/>
          <w:color w:val="000000"/>
        </w:rPr>
        <w:t>4)  Duration of child-parent separation  </w:t>
      </w:r>
    </w:p>
    <w:p w14:paraId="42256DEB" w14:textId="77777777" w:rsidR="00E7239F" w:rsidRPr="00E7239F" w:rsidRDefault="00E7239F" w:rsidP="00E7239F">
      <w:pPr>
        <w:widowControl w:val="0"/>
        <w:numPr>
          <w:ilvl w:val="0"/>
          <w:numId w:val="1"/>
        </w:numPr>
        <w:autoSpaceDE w:val="0"/>
        <w:autoSpaceDN w:val="0"/>
        <w:adjustRightInd w:val="0"/>
        <w:spacing w:after="240" w:line="280" w:lineRule="atLeast"/>
        <w:rPr>
          <w:rFonts w:ascii="Times" w:hAnsi="Times" w:cs="Times"/>
          <w:color w:val="000000"/>
        </w:rPr>
      </w:pPr>
      <w:r w:rsidRPr="00E7239F">
        <w:rPr>
          <w:rFonts w:ascii="Times" w:hAnsi="Times" w:cs="Times"/>
          <w:color w:val="000000"/>
        </w:rPr>
        <w:t>5)  Duration of familial cohesion  </w:t>
      </w:r>
    </w:p>
    <w:p w14:paraId="30F69A54" w14:textId="77777777" w:rsidR="00E7239F" w:rsidRPr="00E7239F" w:rsidRDefault="00E7239F" w:rsidP="00E7239F">
      <w:pPr>
        <w:widowControl w:val="0"/>
        <w:numPr>
          <w:ilvl w:val="0"/>
          <w:numId w:val="1"/>
        </w:numPr>
        <w:autoSpaceDE w:val="0"/>
        <w:autoSpaceDN w:val="0"/>
        <w:adjustRightInd w:val="0"/>
        <w:spacing w:after="240" w:line="280" w:lineRule="atLeast"/>
        <w:rPr>
          <w:rFonts w:ascii="Times" w:hAnsi="Times" w:cs="Times"/>
          <w:color w:val="000000"/>
        </w:rPr>
      </w:pPr>
      <w:r w:rsidRPr="00E7239F">
        <w:rPr>
          <w:rFonts w:ascii="Times" w:hAnsi="Times" w:cs="Times"/>
          <w:color w:val="000000"/>
        </w:rPr>
        <w:t>6)  Total number of changes in child-parent separation status  </w:t>
      </w:r>
    </w:p>
    <w:p w14:paraId="7F8B46B4" w14:textId="77777777" w:rsidR="00E7239F" w:rsidRPr="00E7239F" w:rsidRDefault="00E7239F" w:rsidP="00E7239F">
      <w:pPr>
        <w:widowControl w:val="0"/>
        <w:numPr>
          <w:ilvl w:val="0"/>
          <w:numId w:val="1"/>
        </w:numPr>
        <w:autoSpaceDE w:val="0"/>
        <w:autoSpaceDN w:val="0"/>
        <w:adjustRightInd w:val="0"/>
        <w:spacing w:after="240" w:line="280" w:lineRule="atLeast"/>
        <w:rPr>
          <w:rFonts w:ascii="Times" w:hAnsi="Times" w:cs="Times"/>
          <w:color w:val="000000"/>
        </w:rPr>
      </w:pPr>
      <w:r w:rsidRPr="00E7239F">
        <w:rPr>
          <w:rFonts w:ascii="Times" w:hAnsi="Times" w:cs="Times"/>
          <w:color w:val="000000"/>
        </w:rPr>
        <w:t>7)  Array of specific child-parent separation trajectories  A change in separation status was defined as when a cohort member  </w:t>
      </w:r>
    </w:p>
    <w:p w14:paraId="1D245E74"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shifted from experiencing one kind of separation status one year to another in the subsequent year, which might occur just once, multiple times, or never. For classification 7, ‘Array of specific child-parent separation trajectories’, all change sequences were included if the whole trajectory accounted for at least 0.1% of the total population examined. </w:t>
      </w:r>
    </w:p>
    <w:p w14:paraId="174853BF"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2.4. Study design and analysis </w:t>
      </w:r>
    </w:p>
    <w:p w14:paraId="4CC1846D"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Persons were followed from their 15th birthday until their first registered self-harm episode, emigration from Denmark, death or the end of the study (31st December 2012), whichever came first. Persons with a registered self-harm episode prior to their 15th birthday were excluded. Incidence rate ratios (IRRs) for self-harm were estimated from Poisson regression models (Laird and Olivier, 1981) along with likelihood ratio-based 95% confidence intervals (CIs) and likelihood ratio tests, using the GENMOD procedure of SAS 9.4. Age and calendar year were treated as time-dependent variables, and all IRRs reported were adjusted for calendar year, age, gender, and interactions between these variables, whilst also accounting for changes in gender and age- specific incidence by calendar year, to produce non-significant score tests for </w:t>
      </w:r>
      <w:proofErr w:type="spellStart"/>
      <w:r w:rsidRPr="00E7239F">
        <w:rPr>
          <w:rFonts w:ascii="Times" w:hAnsi="Times" w:cs="Times"/>
          <w:color w:val="000000"/>
        </w:rPr>
        <w:t>overdispersion</w:t>
      </w:r>
      <w:proofErr w:type="spellEnd"/>
      <w:r w:rsidRPr="00E7239F">
        <w:rPr>
          <w:rFonts w:ascii="Times" w:hAnsi="Times" w:cs="Times"/>
          <w:color w:val="000000"/>
        </w:rPr>
        <w:t xml:space="preserve"> (Breslow, 1996). We fitted additional models adjusted for parental socioeconomic status during the year that cohort members reached their 15th birthdays, according to the following measures: 1. Income in annual quintiles; 2. Highest educational level attained (primary school, high school/vocational training, higher education); 3. Employment status (employed, unemployed, outside workforce for other reasons). </w:t>
      </w:r>
    </w:p>
    <w:p w14:paraId="008CFB58" w14:textId="77777777" w:rsidR="00B86475" w:rsidRPr="00E7239F" w:rsidRDefault="00E7239F" w:rsidP="00B86475">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The </w:t>
      </w:r>
      <w:proofErr w:type="spellStart"/>
      <w:r w:rsidRPr="00E7239F">
        <w:rPr>
          <w:rFonts w:ascii="Times" w:hAnsi="Times" w:cs="Times"/>
          <w:color w:val="000000"/>
        </w:rPr>
        <w:t>Akaike</w:t>
      </w:r>
      <w:proofErr w:type="spellEnd"/>
      <w:r w:rsidRPr="00E7239F">
        <w:rPr>
          <w:rFonts w:ascii="Times" w:hAnsi="Times" w:cs="Times"/>
          <w:color w:val="000000"/>
        </w:rPr>
        <w:t xml:space="preserve"> Information Criterion (AIC) (</w:t>
      </w:r>
      <w:proofErr w:type="spellStart"/>
      <w:r w:rsidRPr="00E7239F">
        <w:rPr>
          <w:rFonts w:ascii="Times" w:hAnsi="Times" w:cs="Times"/>
          <w:color w:val="000000"/>
        </w:rPr>
        <w:t>Akaike</w:t>
      </w:r>
      <w:proofErr w:type="spellEnd"/>
      <w:r w:rsidRPr="00E7239F">
        <w:rPr>
          <w:rFonts w:ascii="Times" w:hAnsi="Times" w:cs="Times"/>
          <w:color w:val="000000"/>
        </w:rPr>
        <w:t xml:space="preserve">, 1974) considers a model's goodness-of-fit in relation to the number of parameters used to fit the model. For the seven different exposure classification models examined, the one with the smallest AIC value was designated as having the optimal fit to the data; i.e. the exposure classification that best describes the association between child-parent separation and elevated self-harm risk. This approach allows for comparison between </w:t>
      </w:r>
      <w:r w:rsidR="00B86475" w:rsidRPr="00E7239F">
        <w:rPr>
          <w:rFonts w:ascii="Times" w:hAnsi="Times" w:cs="Times"/>
          <w:color w:val="000000"/>
        </w:rPr>
        <w:t xml:space="preserve">models that are not nested (i.e. most exposure-outcome models examined in this study), which is not possible with likelihood ratio methods. As a sensitivity </w:t>
      </w:r>
      <w:proofErr w:type="gramStart"/>
      <w:r w:rsidR="00B86475" w:rsidRPr="00E7239F">
        <w:rPr>
          <w:rFonts w:ascii="Times" w:hAnsi="Times" w:cs="Times"/>
          <w:color w:val="000000"/>
        </w:rPr>
        <w:t>analysis</w:t>
      </w:r>
      <w:proofErr w:type="gramEnd"/>
      <w:r w:rsidR="00B86475" w:rsidRPr="00E7239F">
        <w:rPr>
          <w:rFonts w:ascii="Times" w:hAnsi="Times" w:cs="Times"/>
          <w:color w:val="000000"/>
        </w:rPr>
        <w:t xml:space="preserve"> we also calculated the Bayesian (or ‘Schwarz’) Information Criterion (BIC) (Schwarz, 1978). </w:t>
      </w:r>
    </w:p>
    <w:p w14:paraId="370232B9"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bookmarkStart w:id="0" w:name="_GoBack"/>
      <w:bookmarkEnd w:id="0"/>
    </w:p>
    <w:p w14:paraId="6A60B6F9"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583 </w:t>
      </w:r>
    </w:p>
    <w:p w14:paraId="1B587182"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A. </w:t>
      </w:r>
      <w:proofErr w:type="spellStart"/>
      <w:r w:rsidRPr="00E7239F">
        <w:rPr>
          <w:rFonts w:ascii="Times" w:hAnsi="Times" w:cs="Times"/>
          <w:color w:val="000000"/>
        </w:rPr>
        <w:t>Astrup</w:t>
      </w:r>
      <w:proofErr w:type="spellEnd"/>
      <w:r w:rsidRPr="00E7239F">
        <w:rPr>
          <w:rFonts w:ascii="Times" w:hAnsi="Times" w:cs="Times"/>
          <w:color w:val="000000"/>
        </w:rPr>
        <w:t xml:space="preserve"> et al. </w:t>
      </w:r>
      <w:r w:rsidRPr="00E7239F">
        <w:rPr>
          <w:rFonts w:ascii="Times" w:hAnsi="Times" w:cs="Times"/>
          <w:i/>
          <w:iCs/>
          <w:color w:val="000000"/>
        </w:rPr>
        <w:t xml:space="preserve">Journal of Affective Disorders 208 (2017) 582–589 </w:t>
      </w:r>
    </w:p>
    <w:p w14:paraId="2B075627"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Table 1 </w:t>
      </w:r>
    </w:p>
    <w:p w14:paraId="5380EC69"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Incidence rate ratios for self-harm from age 15 according to child-parent separation status at birth, at 15th birthday, and by number of changes in separation status through upbringing. </w:t>
      </w:r>
    </w:p>
    <w:p w14:paraId="13FA549C" w14:textId="65B3C6BD"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drawing>
          <wp:inline distT="0" distB="0" distL="0" distR="0" wp14:anchorId="0D650FE8" wp14:editId="138162B0">
            <wp:extent cx="4669790" cy="1079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69790" cy="10795"/>
                    </a:xfrm>
                    <a:prstGeom prst="rect">
                      <a:avLst/>
                    </a:prstGeom>
                    <a:noFill/>
                    <a:ln>
                      <a:noFill/>
                    </a:ln>
                  </pic:spPr>
                </pic:pic>
              </a:graphicData>
            </a:graphic>
          </wp:inline>
        </w:drawing>
      </w:r>
    </w:p>
    <w:p w14:paraId="058C9DB2"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Child-parent separation status </w:t>
      </w:r>
    </w:p>
    <w:p w14:paraId="7E8A71E7"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Separation status at birth: Not separated </w:t>
      </w:r>
      <w:proofErr w:type="spellStart"/>
      <w:r w:rsidRPr="00E7239F">
        <w:rPr>
          <w:rFonts w:ascii="Times" w:hAnsi="Times" w:cs="Times"/>
          <w:color w:val="000000"/>
        </w:rPr>
        <w:t>Separated</w:t>
      </w:r>
      <w:proofErr w:type="spellEnd"/>
      <w:r w:rsidRPr="00E7239F">
        <w:rPr>
          <w:rFonts w:ascii="Times" w:hAnsi="Times" w:cs="Times"/>
          <w:color w:val="000000"/>
        </w:rPr>
        <w:t xml:space="preserve"> from father Separated from mother Separated from both parents </w:t>
      </w:r>
    </w:p>
    <w:p w14:paraId="2040AC9F"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Separation status at 15th birthday: Not separated </w:t>
      </w:r>
      <w:proofErr w:type="spellStart"/>
      <w:r w:rsidRPr="00E7239F">
        <w:rPr>
          <w:rFonts w:ascii="Times" w:hAnsi="Times" w:cs="Times"/>
          <w:color w:val="000000"/>
        </w:rPr>
        <w:t>Separated</w:t>
      </w:r>
      <w:proofErr w:type="spellEnd"/>
      <w:r w:rsidRPr="00E7239F">
        <w:rPr>
          <w:rFonts w:ascii="Times" w:hAnsi="Times" w:cs="Times"/>
          <w:color w:val="000000"/>
        </w:rPr>
        <w:t xml:space="preserve"> from father Separated from mother Separated from both parents </w:t>
      </w:r>
    </w:p>
    <w:p w14:paraId="6C2B136B"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No. of separation status changes: 0 </w:t>
      </w:r>
    </w:p>
    <w:p w14:paraId="4B94F0E6"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1 2 3 4 5 or more </w:t>
      </w:r>
    </w:p>
    <w:p w14:paraId="2BEA794E"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Exposure prevalence (%) </w:t>
      </w:r>
    </w:p>
    <w:p w14:paraId="5D3C5F54"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93.4 6.2 0.17 0.21 </w:t>
      </w:r>
    </w:p>
    <w:p w14:paraId="702209FB"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71.2 22.8 4.2 1.7 </w:t>
      </w:r>
    </w:p>
    <w:p w14:paraId="64E5D4AC"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67.7 21.1 6.3 3.1 1.0 0.7 </w:t>
      </w:r>
    </w:p>
    <w:p w14:paraId="601CB94D"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n persons (self-harm) 26,601 </w:t>
      </w:r>
    </w:p>
    <w:p w14:paraId="48FDB19D"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3747 66 70 </w:t>
      </w:r>
    </w:p>
    <w:p w14:paraId="4793AA6D"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15,734 10,660 2084 2006 </w:t>
      </w:r>
    </w:p>
    <w:p w14:paraId="06FE0200"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14,644 8696 3459 2039 856 790 </w:t>
      </w:r>
    </w:p>
    <w:p w14:paraId="599F6AC7"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Incidence </w:t>
      </w:r>
      <w:proofErr w:type="spellStart"/>
      <w:r w:rsidRPr="00E7239F">
        <w:rPr>
          <w:rFonts w:ascii="Times" w:hAnsi="Times" w:cs="Times"/>
          <w:color w:val="000000"/>
        </w:rPr>
        <w:t>ratea</w:t>
      </w:r>
      <w:proofErr w:type="spellEnd"/>
      <w:r w:rsidRPr="00E7239F">
        <w:rPr>
          <w:rFonts w:ascii="Times" w:hAnsi="Times" w:cs="Times"/>
          <w:color w:val="000000"/>
        </w:rPr>
        <w:t xml:space="preserve"> </w:t>
      </w:r>
      <w:proofErr w:type="spellStart"/>
      <w:r w:rsidRPr="00E7239F">
        <w:rPr>
          <w:rFonts w:ascii="Times" w:hAnsi="Times" w:cs="Times"/>
          <w:color w:val="000000"/>
        </w:rPr>
        <w:t>IRRb</w:t>
      </w:r>
      <w:proofErr w:type="spellEnd"/>
      <w:r w:rsidRPr="00E7239F">
        <w:rPr>
          <w:rFonts w:ascii="Times" w:hAnsi="Times" w:cs="Times"/>
          <w:color w:val="000000"/>
        </w:rPr>
        <w:t xml:space="preserve"> 17.5 1.00 </w:t>
      </w:r>
    </w:p>
    <w:p w14:paraId="53D037A6"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36.1 2.12 16.7 1.28 12.0 1.07 </w:t>
      </w:r>
    </w:p>
    <w:p w14:paraId="75F3AF99"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13.1 1.00 31.3 2.23 32.8 2.44 66.2 5.50 </w:t>
      </w:r>
    </w:p>
    <w:p w14:paraId="20A467B0"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12.9 1.00 26.7 1.99 36.1 2.68 42.8 3.16 54.4 4.02 71.9 5.24 </w:t>
      </w:r>
    </w:p>
    <w:p w14:paraId="5E2A7C04"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(95% CI) </w:t>
      </w:r>
    </w:p>
    <w:p w14:paraId="1EE47E52"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(Ref.) (2.05–2.20) (1.00–1.62) (0.84–1.35) </w:t>
      </w:r>
    </w:p>
    <w:p w14:paraId="3ECED399"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(Ref.) (2.17–2.28) (2.33–2.55) (5.25–5.77) </w:t>
      </w:r>
    </w:p>
    <w:p w14:paraId="1F987D2F"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(Ref.) (1.94–2.04) (2.58–2.78) (3.01–3.31) (3.75–4.30) (4.88–5.63) </w:t>
      </w:r>
    </w:p>
    <w:p w14:paraId="38073D6E"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Adj. </w:t>
      </w:r>
      <w:proofErr w:type="spellStart"/>
      <w:r w:rsidRPr="00E7239F">
        <w:rPr>
          <w:rFonts w:ascii="Times" w:hAnsi="Times" w:cs="Times"/>
          <w:color w:val="000000"/>
        </w:rPr>
        <w:t>IRRc</w:t>
      </w:r>
      <w:proofErr w:type="spellEnd"/>
      <w:r w:rsidRPr="00E7239F">
        <w:rPr>
          <w:rFonts w:ascii="Times" w:hAnsi="Times" w:cs="Times"/>
          <w:color w:val="000000"/>
        </w:rPr>
        <w:t xml:space="preserve"> 1.00 </w:t>
      </w:r>
    </w:p>
    <w:p w14:paraId="08CC7823"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1.53 1.16 0.94 </w:t>
      </w:r>
    </w:p>
    <w:p w14:paraId="27297BA8"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1.00 1.83 2.02 3.30 </w:t>
      </w:r>
    </w:p>
    <w:p w14:paraId="7D79A48F"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1.00 1.72 2.17 2.30 2.67 3.17 </w:t>
      </w:r>
    </w:p>
    <w:p w14:paraId="3EAAFB8F"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(95% CI) </w:t>
      </w:r>
    </w:p>
    <w:p w14:paraId="40816F4C"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(Ref.) (1.48–1.58) (0.90–1.46) (0.73–1.17) </w:t>
      </w:r>
    </w:p>
    <w:p w14:paraId="409781FD"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(Ref.) (1.79–1.88) (1.93–2.12) (3.14–3.46) </w:t>
      </w:r>
    </w:p>
    <w:p w14:paraId="0F62966A"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(Ref.) (1.68–1.77) (2.09–2.25) (2.19–2.41) (2.49–2.86) (2.94–3.41) </w:t>
      </w:r>
    </w:p>
    <w:p w14:paraId="54310945" w14:textId="2CDF032B"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drawing>
          <wp:inline distT="0" distB="0" distL="0" distR="0" wp14:anchorId="791FFBB0" wp14:editId="37D621E4">
            <wp:extent cx="4669790" cy="1079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69790" cy="10795"/>
                    </a:xfrm>
                    <a:prstGeom prst="rect">
                      <a:avLst/>
                    </a:prstGeom>
                    <a:noFill/>
                    <a:ln>
                      <a:noFill/>
                    </a:ln>
                  </pic:spPr>
                </pic:pic>
              </a:graphicData>
            </a:graphic>
          </wp:inline>
        </w:drawing>
      </w:r>
      <w:r w:rsidRPr="00E7239F">
        <w:rPr>
          <w:rFonts w:ascii="Times" w:hAnsi="Times" w:cs="Times"/>
          <w:color w:val="000000"/>
        </w:rPr>
        <w:t xml:space="preserve"> </w:t>
      </w:r>
      <w:r w:rsidRPr="00E7239F">
        <w:rPr>
          <w:rFonts w:ascii="Times" w:hAnsi="Times" w:cs="Times"/>
          <w:color w:val="000000"/>
        </w:rPr>
        <w:drawing>
          <wp:inline distT="0" distB="0" distL="0" distR="0" wp14:anchorId="5B0788EB" wp14:editId="7AB8DDED">
            <wp:extent cx="207010" cy="1079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7010" cy="10795"/>
                    </a:xfrm>
                    <a:prstGeom prst="rect">
                      <a:avLst/>
                    </a:prstGeom>
                    <a:noFill/>
                    <a:ln>
                      <a:noFill/>
                    </a:ln>
                  </pic:spPr>
                </pic:pic>
              </a:graphicData>
            </a:graphic>
          </wp:inline>
        </w:drawing>
      </w:r>
      <w:r w:rsidRPr="00E7239F">
        <w:rPr>
          <w:rFonts w:ascii="Times" w:hAnsi="Times" w:cs="Times"/>
          <w:color w:val="000000"/>
        </w:rPr>
        <w:t xml:space="preserve"> </w:t>
      </w:r>
      <w:r w:rsidRPr="00E7239F">
        <w:rPr>
          <w:rFonts w:ascii="Times" w:hAnsi="Times" w:cs="Times"/>
          <w:color w:val="000000"/>
        </w:rPr>
        <w:drawing>
          <wp:inline distT="0" distB="0" distL="0" distR="0" wp14:anchorId="4B1C947C" wp14:editId="5E415B0F">
            <wp:extent cx="184785" cy="1079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4785" cy="10795"/>
                    </a:xfrm>
                    <a:prstGeom prst="rect">
                      <a:avLst/>
                    </a:prstGeom>
                    <a:noFill/>
                    <a:ln>
                      <a:noFill/>
                    </a:ln>
                  </pic:spPr>
                </pic:pic>
              </a:graphicData>
            </a:graphic>
          </wp:inline>
        </w:drawing>
      </w:r>
      <w:r w:rsidRPr="00E7239F">
        <w:rPr>
          <w:rFonts w:ascii="Times" w:hAnsi="Times" w:cs="Times"/>
          <w:color w:val="000000"/>
        </w:rPr>
        <w:t xml:space="preserve"> </w:t>
      </w:r>
      <w:r w:rsidRPr="00E7239F">
        <w:rPr>
          <w:rFonts w:ascii="Times" w:hAnsi="Times" w:cs="Times"/>
          <w:color w:val="000000"/>
        </w:rPr>
        <w:drawing>
          <wp:inline distT="0" distB="0" distL="0" distR="0" wp14:anchorId="22792F37" wp14:editId="7AB387D3">
            <wp:extent cx="260985" cy="1079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0985" cy="10795"/>
                    </a:xfrm>
                    <a:prstGeom prst="rect">
                      <a:avLst/>
                    </a:prstGeom>
                    <a:noFill/>
                    <a:ln>
                      <a:noFill/>
                    </a:ln>
                  </pic:spPr>
                </pic:pic>
              </a:graphicData>
            </a:graphic>
          </wp:inline>
        </w:drawing>
      </w:r>
      <w:r w:rsidRPr="00E7239F">
        <w:rPr>
          <w:rFonts w:ascii="Times" w:hAnsi="Times" w:cs="Times"/>
          <w:color w:val="000000"/>
        </w:rPr>
        <w:t xml:space="preserve"> </w:t>
      </w:r>
      <w:r w:rsidRPr="00E7239F">
        <w:rPr>
          <w:rFonts w:ascii="Times" w:hAnsi="Times" w:cs="Times"/>
          <w:color w:val="000000"/>
        </w:rPr>
        <w:drawing>
          <wp:inline distT="0" distB="0" distL="0" distR="0" wp14:anchorId="1E15267A" wp14:editId="7D2D8B69">
            <wp:extent cx="4669790" cy="1079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69790" cy="10795"/>
                    </a:xfrm>
                    <a:prstGeom prst="rect">
                      <a:avLst/>
                    </a:prstGeom>
                    <a:noFill/>
                    <a:ln>
                      <a:noFill/>
                    </a:ln>
                  </pic:spPr>
                </pic:pic>
              </a:graphicData>
            </a:graphic>
          </wp:inline>
        </w:drawing>
      </w:r>
    </w:p>
    <w:p w14:paraId="783D6EB6"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proofErr w:type="spellStart"/>
      <w:proofErr w:type="gramStart"/>
      <w:r w:rsidRPr="00E7239F">
        <w:rPr>
          <w:rFonts w:ascii="Times" w:hAnsi="Times" w:cs="Times"/>
          <w:color w:val="000000"/>
        </w:rPr>
        <w:t>a</w:t>
      </w:r>
      <w:proofErr w:type="spellEnd"/>
      <w:proofErr w:type="gramEnd"/>
      <w:r w:rsidRPr="00E7239F">
        <w:rPr>
          <w:rFonts w:ascii="Times" w:hAnsi="Times" w:cs="Times"/>
          <w:color w:val="000000"/>
        </w:rPr>
        <w:t xml:space="preserve"> Incidence rate per 10,000 person-years at b IRR - Incidence rate ratio. c Adj. IRR - Adjusted incidence rate ratio; adjusted for parental socioeconomic status at cohort members’ 15th birthdays. </w:t>
      </w:r>
    </w:p>
    <w:p w14:paraId="67CD235E"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risk. </w:t>
      </w:r>
    </w:p>
    <w:p w14:paraId="051D7569"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3. Results </w:t>
      </w:r>
    </w:p>
    <w:p w14:paraId="562DF976"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3.1. Child-parent separation status at birth and at 15th birthday </w:t>
      </w:r>
    </w:p>
    <w:p w14:paraId="3CC8062C"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The study cohort consisted of 1,343,129 persons born in Denmark during 1971–1997 who were followed up from their 15th birthdays. In this cohort 30,484 individuals harmed themselves during 16.3 million person-years at risk, 1986–2012: a crude incidence rate of 1.87 per 1000 person-years. The great majority (93.4%) of cohort members lived with both parents at their birth (Table 1). Compared to these persons, those who were separated from their father at birth had a more than doubled risk of self-harm beyond their 15th birthday. Individuals separated from their mothers at birth had a modestly elevated risk, and for those separated from both parents at birth there was no evidence of an association in either direction. At 15th birthday, 71.2% of cohort members lived with both their parents and a further 22.8% lived only with their mother (Table 1). Those separated from their mother or their father had a more than doubled risk, and children separated from both parents had the largest risk elevation (5–6 times higher) compared to those living with both parents on their 15th birthday. Table 1 also shows IRRs additionally adjusted for parental socioeconomic status in the year that cohort members reached their 15th birthdays. Although these confounding variables accounted for a sizeable proportion of the elevated risks observed, essentially the same patterns of risk persisted across the various child-parent exposure models examined. </w:t>
      </w:r>
    </w:p>
    <w:p w14:paraId="60A1ABCF"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3.2. Total number of changes in child-parent separation status during upbringing </w:t>
      </w:r>
    </w:p>
    <w:p w14:paraId="35491EA2"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Between their births and 15th birthdays, 67.7% of cohort members were not exposed to any changes in child-parent separation status, and the more separation status changes experienced during childhood the greater the elevation in later risk of self-harm (Table 1). Statistical interaction terms indicated no significant evidence of differential associations by offspring gender in relation to child-parent separation </w:t>
      </w:r>
    </w:p>
    <w:p w14:paraId="5128FF0C"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at birth (P=0.20) and at 15th birthday (P=0.14), and by total number of changes in separation status during upbringing (P=0.75). Table 1 also shows IRRs adjusted for parental socioeconomic status. The </w:t>
      </w:r>
      <w:proofErr w:type="spellStart"/>
      <w:r w:rsidRPr="00E7239F">
        <w:rPr>
          <w:rFonts w:ascii="Times" w:hAnsi="Times" w:cs="Times"/>
          <w:color w:val="000000"/>
        </w:rPr>
        <w:t>associa</w:t>
      </w:r>
      <w:proofErr w:type="spellEnd"/>
      <w:r w:rsidRPr="00E7239F">
        <w:rPr>
          <w:rFonts w:ascii="Times" w:hAnsi="Times" w:cs="Times"/>
          <w:color w:val="000000"/>
        </w:rPr>
        <w:t xml:space="preserve">- </w:t>
      </w:r>
      <w:proofErr w:type="spellStart"/>
      <w:r w:rsidRPr="00E7239F">
        <w:rPr>
          <w:rFonts w:ascii="Times" w:hAnsi="Times" w:cs="Times"/>
          <w:color w:val="000000"/>
        </w:rPr>
        <w:t>tion</w:t>
      </w:r>
      <w:proofErr w:type="spellEnd"/>
      <w:r w:rsidRPr="00E7239F">
        <w:rPr>
          <w:rFonts w:ascii="Times" w:hAnsi="Times" w:cs="Times"/>
          <w:color w:val="000000"/>
        </w:rPr>
        <w:t xml:space="preserve"> was attenuated somewhat with this additional adjustment, but a risk gradient remained nonetheless. </w:t>
      </w:r>
    </w:p>
    <w:p w14:paraId="2CCD532A"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3.3. Age at first child-parent separation </w:t>
      </w:r>
    </w:p>
    <w:p w14:paraId="5BFC49FF"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Compared to cohort members not exposed to child-parent </w:t>
      </w:r>
      <w:proofErr w:type="spellStart"/>
      <w:r w:rsidRPr="00E7239F">
        <w:rPr>
          <w:rFonts w:ascii="Times" w:hAnsi="Times" w:cs="Times"/>
          <w:color w:val="000000"/>
        </w:rPr>
        <w:t>separa</w:t>
      </w:r>
      <w:proofErr w:type="spellEnd"/>
      <w:r w:rsidRPr="00E7239F">
        <w:rPr>
          <w:rFonts w:ascii="Times" w:hAnsi="Times" w:cs="Times"/>
          <w:color w:val="000000"/>
        </w:rPr>
        <w:t xml:space="preserve">- </w:t>
      </w:r>
      <w:proofErr w:type="spellStart"/>
      <w:r w:rsidRPr="00E7239F">
        <w:rPr>
          <w:rFonts w:ascii="Times" w:hAnsi="Times" w:cs="Times"/>
          <w:color w:val="000000"/>
        </w:rPr>
        <w:t>tion</w:t>
      </w:r>
      <w:proofErr w:type="spellEnd"/>
      <w:r w:rsidRPr="00E7239F">
        <w:rPr>
          <w:rFonts w:ascii="Times" w:hAnsi="Times" w:cs="Times"/>
          <w:color w:val="000000"/>
        </w:rPr>
        <w:t xml:space="preserve">, those who experienced separation had elevated risk of subsequent self-harm, irrespective as to whether they were separated from their mother, father or both parents and also the age at which they first experienced child-parent separation (Fig. 1). The association was generally stronger for paternal than for maternal separation, and especially so if separation from father first occurred during infancy or early childhood. If first separation occurred between 10th and 15th birthday there was little evidence of a difference in strength of association for separation from father versus mother. The association with age at first maternal separation was quite stable across yearly ages of exposure. Individuals first-separated from both parents before 10th birthday had elevated risk of later self-harm, with IRR values for age- year at separation ranging from between 1.4 and 2.2. For those persons exposed to first separation from both parents between 10th and 15th birthday we observed a steep gradient of rising risk with increasing age at first separation. </w:t>
      </w:r>
    </w:p>
    <w:p w14:paraId="78AFB05F"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3.4. Duration of familial cohesion and of child-parent separation during upbringing </w:t>
      </w:r>
    </w:p>
    <w:p w14:paraId="070E2C91"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Incidence rate ratios for duration of familial cohesion during upbringing are plotted in Fig. 2, against a reference category of 15 complete years of living with both parents. This shows a clear trend toward rising risk the shorter the duration of cohesion, although a steep gradient was only observed for less than five years of familial cohesion. For periods of familial cohesion of more than five years duration the IRR values were more modest although they were still significantly elevated compared with the full 15 years of cohesion reference category. Fig. 3 presents IRR estimates for duration of child- parent separation in years against a reference category of zero years of separation between birth and 15th birthday. The strength of </w:t>
      </w:r>
      <w:proofErr w:type="spellStart"/>
      <w:r w:rsidRPr="00E7239F">
        <w:rPr>
          <w:rFonts w:ascii="Times" w:hAnsi="Times" w:cs="Times"/>
          <w:color w:val="000000"/>
        </w:rPr>
        <w:t>associa</w:t>
      </w:r>
      <w:proofErr w:type="spellEnd"/>
      <w:r w:rsidRPr="00E7239F">
        <w:rPr>
          <w:rFonts w:ascii="Times" w:hAnsi="Times" w:cs="Times"/>
          <w:color w:val="000000"/>
        </w:rPr>
        <w:t xml:space="preserve">- </w:t>
      </w:r>
      <w:proofErr w:type="spellStart"/>
      <w:r w:rsidRPr="00E7239F">
        <w:rPr>
          <w:rFonts w:ascii="Times" w:hAnsi="Times" w:cs="Times"/>
          <w:color w:val="000000"/>
        </w:rPr>
        <w:t>tion</w:t>
      </w:r>
      <w:proofErr w:type="spellEnd"/>
      <w:r w:rsidRPr="00E7239F">
        <w:rPr>
          <w:rFonts w:ascii="Times" w:hAnsi="Times" w:cs="Times"/>
          <w:color w:val="000000"/>
        </w:rPr>
        <w:t xml:space="preserve"> with duration of paternal separation was slightly stronger than it </w:t>
      </w:r>
    </w:p>
    <w:p w14:paraId="45D07A7C"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584 </w:t>
      </w:r>
    </w:p>
    <w:p w14:paraId="69F7CFA5"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A. </w:t>
      </w:r>
      <w:proofErr w:type="spellStart"/>
      <w:r w:rsidRPr="00E7239F">
        <w:rPr>
          <w:rFonts w:ascii="Times" w:hAnsi="Times" w:cs="Times"/>
          <w:color w:val="000000"/>
        </w:rPr>
        <w:t>Astrup</w:t>
      </w:r>
      <w:proofErr w:type="spellEnd"/>
      <w:r w:rsidRPr="00E7239F">
        <w:rPr>
          <w:rFonts w:ascii="Times" w:hAnsi="Times" w:cs="Times"/>
          <w:color w:val="000000"/>
        </w:rPr>
        <w:t xml:space="preserve"> et al. </w:t>
      </w:r>
      <w:r w:rsidRPr="00E7239F">
        <w:rPr>
          <w:rFonts w:ascii="Times" w:hAnsi="Times" w:cs="Times"/>
          <w:i/>
          <w:iCs/>
          <w:color w:val="000000"/>
        </w:rPr>
        <w:t xml:space="preserve">Journal of Affective Disorders 208 (2017) 582–589 </w:t>
      </w:r>
    </w:p>
    <w:p w14:paraId="62E5DCA8" w14:textId="369F8172" w:rsidR="00E7239F" w:rsidRPr="00E7239F" w:rsidRDefault="00E7239F" w:rsidP="00E7239F">
      <w:pPr>
        <w:widowControl w:val="0"/>
        <w:autoSpaceDE w:val="0"/>
        <w:autoSpaceDN w:val="0"/>
        <w:adjustRightInd w:val="0"/>
        <w:spacing w:after="240" w:line="280" w:lineRule="atLeast"/>
        <w:rPr>
          <w:rFonts w:ascii="Times" w:hAnsi="Times" w:cs="Times"/>
          <w:color w:val="000000"/>
        </w:rPr>
      </w:pPr>
    </w:p>
    <w:p w14:paraId="274F1291"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Fig. 1</w:t>
      </w:r>
      <w:proofErr w:type="gramStart"/>
      <w:r w:rsidRPr="00E7239F">
        <w:rPr>
          <w:rFonts w:ascii="Times" w:hAnsi="Times" w:cs="Times"/>
          <w:color w:val="000000"/>
        </w:rPr>
        <w:t>. :</w:t>
      </w:r>
      <w:proofErr w:type="gramEnd"/>
      <w:r w:rsidRPr="00E7239F">
        <w:rPr>
          <w:rFonts w:ascii="Times" w:hAnsi="Times" w:cs="Times"/>
          <w:color w:val="000000"/>
        </w:rPr>
        <w:t xml:space="preserve"> Incidence rate ratios for self-harm from age 15 according to age at first child-parent separation event during upbringing. Footnote: Each incidence rate ratio presented had its own reference category, which consisted of individuals who did not experience the particular type of child-parent separation (separated from mother / father / both parents) at any age during their upbringing. </w:t>
      </w:r>
    </w:p>
    <w:p w14:paraId="1F880FFB"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was for maternal separation, and for both of these exposures the strength of association increased gradually the longer the duration of separation. With duration of separation from both parents, a quite different pattern was observed. Being separated from both parents for 1–12 years conferred far higher risk of later self-harm than being separated from mother or father only for the equivalent length of time in the 1–12 years range; by contrast, being separated from both parents for 14 or 15 years was linked with lower risk than separation for this length of time from mother or father only. </w:t>
      </w:r>
    </w:p>
    <w:p w14:paraId="41D9D8B7"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3.5. Specific child-parent separation trajectories </w:t>
      </w:r>
    </w:p>
    <w:p w14:paraId="5D5BB7B9"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Incidence rate ratios for specific child-parent separation </w:t>
      </w:r>
      <w:proofErr w:type="spellStart"/>
      <w:r w:rsidRPr="00E7239F">
        <w:rPr>
          <w:rFonts w:ascii="Times" w:hAnsi="Times" w:cs="Times"/>
          <w:color w:val="000000"/>
        </w:rPr>
        <w:t>trajec</w:t>
      </w:r>
      <w:proofErr w:type="spellEnd"/>
      <w:r w:rsidRPr="00E7239F">
        <w:rPr>
          <w:rFonts w:ascii="Times" w:hAnsi="Times" w:cs="Times"/>
          <w:color w:val="000000"/>
        </w:rPr>
        <w:t xml:space="preserve">- </w:t>
      </w:r>
      <w:proofErr w:type="spellStart"/>
      <w:r w:rsidRPr="00E7239F">
        <w:rPr>
          <w:rFonts w:ascii="Times" w:hAnsi="Times" w:cs="Times"/>
          <w:color w:val="000000"/>
        </w:rPr>
        <w:t>tories</w:t>
      </w:r>
      <w:proofErr w:type="spellEnd"/>
      <w:r w:rsidRPr="00E7239F">
        <w:rPr>
          <w:rFonts w:ascii="Times" w:hAnsi="Times" w:cs="Times"/>
          <w:color w:val="000000"/>
        </w:rPr>
        <w:t xml:space="preserve">, versus a reference group of cohort members who were never separated from either parent between birth and 15th birthday, are presented in Table 2. The trajectories with the highest incidence rates and IRRs for subsequent self-harm were: </w:t>
      </w:r>
    </w:p>
    <w:p w14:paraId="22A42CD8" w14:textId="77777777" w:rsidR="00E7239F" w:rsidRPr="00E7239F" w:rsidRDefault="00E7239F" w:rsidP="00E7239F">
      <w:pPr>
        <w:widowControl w:val="0"/>
        <w:numPr>
          <w:ilvl w:val="0"/>
          <w:numId w:val="2"/>
        </w:numPr>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1)  Separated from father only at birth </w:t>
      </w:r>
      <w:r w:rsidRPr="00E7239F">
        <w:rPr>
          <w:rFonts w:ascii="Calibri" w:eastAsia="Calibri" w:hAnsi="Calibri" w:cs="Calibri"/>
          <w:color w:val="000000"/>
        </w:rPr>
        <w:t>→</w:t>
      </w:r>
      <w:r w:rsidRPr="00E7239F">
        <w:rPr>
          <w:rFonts w:ascii="Times" w:hAnsi="Times" w:cs="Times"/>
          <w:color w:val="000000"/>
        </w:rPr>
        <w:t xml:space="preserve"> separated from both parents (‘F</w:t>
      </w:r>
      <w:r w:rsidRPr="00E7239F">
        <w:rPr>
          <w:rFonts w:ascii="Calibri" w:eastAsia="Calibri" w:hAnsi="Calibri" w:cs="Calibri"/>
          <w:color w:val="000000"/>
        </w:rPr>
        <w:t>→</w:t>
      </w:r>
      <w:r w:rsidRPr="00E7239F">
        <w:rPr>
          <w:rFonts w:ascii="Times" w:hAnsi="Times" w:cs="Times"/>
          <w:color w:val="000000"/>
        </w:rPr>
        <w:t>FM’): IRR 7.25, 95% CI 6.42–8.14 (adjusted for parental SES: IRR 3.89, 3.44–4.38)  </w:t>
      </w:r>
    </w:p>
    <w:p w14:paraId="0F591EE2" w14:textId="77777777" w:rsidR="00E7239F" w:rsidRPr="00E7239F" w:rsidRDefault="00E7239F" w:rsidP="00E7239F">
      <w:pPr>
        <w:widowControl w:val="0"/>
        <w:numPr>
          <w:ilvl w:val="0"/>
          <w:numId w:val="2"/>
        </w:numPr>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2)  Living with both parents at birth </w:t>
      </w:r>
      <w:r w:rsidRPr="00E7239F">
        <w:rPr>
          <w:rFonts w:ascii="Calibri" w:eastAsia="Calibri" w:hAnsi="Calibri" w:cs="Calibri"/>
          <w:color w:val="000000"/>
        </w:rPr>
        <w:t>→</w:t>
      </w:r>
      <w:r w:rsidRPr="00E7239F">
        <w:rPr>
          <w:rFonts w:ascii="Times" w:hAnsi="Times" w:cs="Times"/>
          <w:color w:val="000000"/>
        </w:rPr>
        <w:t xml:space="preserve"> separated from father only </w:t>
      </w:r>
      <w:r w:rsidRPr="00E7239F">
        <w:rPr>
          <w:rFonts w:ascii="Calibri" w:eastAsia="Calibri" w:hAnsi="Calibri" w:cs="Calibri"/>
          <w:color w:val="000000"/>
        </w:rPr>
        <w:t>→</w:t>
      </w:r>
      <w:r w:rsidRPr="00E7239F">
        <w:rPr>
          <w:rFonts w:ascii="Times" w:hAnsi="Times" w:cs="Times"/>
          <w:color w:val="000000"/>
        </w:rPr>
        <w:t xml:space="preserve"> separated from both parents (‘N</w:t>
      </w:r>
      <w:r w:rsidRPr="00E7239F">
        <w:rPr>
          <w:rFonts w:ascii="Calibri" w:eastAsia="Calibri" w:hAnsi="Calibri" w:cs="Calibri"/>
          <w:color w:val="000000"/>
        </w:rPr>
        <w:t>→</w:t>
      </w:r>
      <w:r w:rsidRPr="00E7239F">
        <w:rPr>
          <w:rFonts w:ascii="Times" w:hAnsi="Times" w:cs="Times"/>
          <w:color w:val="000000"/>
        </w:rPr>
        <w:t>F</w:t>
      </w:r>
      <w:r w:rsidRPr="00E7239F">
        <w:rPr>
          <w:rFonts w:ascii="Calibri" w:eastAsia="Calibri" w:hAnsi="Calibri" w:cs="Calibri"/>
          <w:color w:val="000000"/>
        </w:rPr>
        <w:t>→</w:t>
      </w:r>
      <w:r w:rsidRPr="00E7239F">
        <w:rPr>
          <w:rFonts w:ascii="Times" w:hAnsi="Times" w:cs="Times"/>
          <w:color w:val="000000"/>
        </w:rPr>
        <w:t>FM’): IRR 6.92, 6.33–7.54 (adjusted for parental SES: IRR 4.08, 3.73–4.46)  </w:t>
      </w:r>
    </w:p>
    <w:p w14:paraId="6902715B"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3) Living with both parents at birth </w:t>
      </w:r>
      <w:r w:rsidRPr="00E7239F">
        <w:rPr>
          <w:rFonts w:ascii="Calibri" w:eastAsia="Calibri" w:hAnsi="Calibri" w:cs="Calibri"/>
          <w:color w:val="000000"/>
        </w:rPr>
        <w:t>→</w:t>
      </w:r>
      <w:r w:rsidRPr="00E7239F">
        <w:rPr>
          <w:rFonts w:ascii="Times" w:hAnsi="Times" w:cs="Times"/>
          <w:color w:val="000000"/>
        </w:rPr>
        <w:t xml:space="preserve"> separated from father only </w:t>
      </w:r>
      <w:r w:rsidRPr="00E7239F">
        <w:rPr>
          <w:rFonts w:ascii="Calibri" w:eastAsia="Calibri" w:hAnsi="Calibri" w:cs="Calibri"/>
          <w:color w:val="000000"/>
        </w:rPr>
        <w:t>→</w:t>
      </w:r>
      <w:r w:rsidRPr="00E7239F">
        <w:rPr>
          <w:rFonts w:ascii="Times" w:hAnsi="Times" w:cs="Times"/>
          <w:color w:val="000000"/>
        </w:rPr>
        <w:t xml:space="preserve"> separated from both parents </w:t>
      </w:r>
      <w:r w:rsidRPr="00E7239F">
        <w:rPr>
          <w:rFonts w:ascii="Calibri" w:eastAsia="Calibri" w:hAnsi="Calibri" w:cs="Calibri"/>
          <w:color w:val="000000"/>
        </w:rPr>
        <w:t>→</w:t>
      </w:r>
      <w:r w:rsidRPr="00E7239F">
        <w:rPr>
          <w:rFonts w:ascii="Times" w:hAnsi="Times" w:cs="Times"/>
          <w:color w:val="000000"/>
        </w:rPr>
        <w:t xml:space="preserve"> separated from father only (‘N</w:t>
      </w:r>
      <w:r w:rsidRPr="00E7239F">
        <w:rPr>
          <w:rFonts w:ascii="Calibri" w:eastAsia="Calibri" w:hAnsi="Calibri" w:cs="Calibri"/>
          <w:color w:val="000000"/>
        </w:rPr>
        <w:t>→</w:t>
      </w:r>
      <w:r w:rsidRPr="00E7239F">
        <w:rPr>
          <w:rFonts w:ascii="Times" w:hAnsi="Times" w:cs="Times"/>
          <w:color w:val="000000"/>
        </w:rPr>
        <w:t xml:space="preserve"> F</w:t>
      </w:r>
      <w:r w:rsidRPr="00E7239F">
        <w:rPr>
          <w:rFonts w:ascii="Calibri" w:eastAsia="Calibri" w:hAnsi="Calibri" w:cs="Calibri"/>
          <w:color w:val="000000"/>
        </w:rPr>
        <w:t>→</w:t>
      </w:r>
      <w:r w:rsidRPr="00E7239F">
        <w:rPr>
          <w:rFonts w:ascii="Times" w:hAnsi="Times" w:cs="Times"/>
          <w:color w:val="000000"/>
        </w:rPr>
        <w:t>FM</w:t>
      </w:r>
      <w:r w:rsidRPr="00E7239F">
        <w:rPr>
          <w:rFonts w:ascii="Calibri" w:eastAsia="Calibri" w:hAnsi="Calibri" w:cs="Calibri"/>
          <w:color w:val="000000"/>
        </w:rPr>
        <w:t>→</w:t>
      </w:r>
      <w:r w:rsidRPr="00E7239F">
        <w:rPr>
          <w:rFonts w:ascii="Times" w:hAnsi="Times" w:cs="Times"/>
          <w:color w:val="000000"/>
        </w:rPr>
        <w:t>F</w:t>
      </w:r>
      <w:r w:rsidRPr="00E7239F">
        <w:rPr>
          <w:rFonts w:ascii="Calibri" w:eastAsia="Calibri" w:hAnsi="Calibri" w:cs="Calibri"/>
          <w:color w:val="000000"/>
        </w:rPr>
        <w:t>′</w:t>
      </w:r>
      <w:r w:rsidRPr="00E7239F">
        <w:rPr>
          <w:rFonts w:ascii="Times" w:hAnsi="Times" w:cs="Times"/>
          <w:color w:val="000000"/>
        </w:rPr>
        <w:t xml:space="preserve">): IRR 6.04, 5.22–6.94 (adjusted for parental SES: IRR 3.84, 3.31–4.41). </w:t>
      </w:r>
    </w:p>
    <w:p w14:paraId="1DC3A52D"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For each of these three high-risk subgroups, a common experience was transition from being separated from one's father only to being separated from both parents. Another striking finding that Table 2 reveals is the consistency of the link between child-parent separation and later elevated risk of self-harm. Thus, risk was raised even for the six subgroups of cohort members who were reunited with both parents at the same residential address on reaching their 15th birthday. These are the trajectory subgroups that have the letter ‘N</w:t>
      </w:r>
      <w:r w:rsidRPr="00E7239F">
        <w:rPr>
          <w:rFonts w:ascii="Calibri" w:eastAsia="Calibri" w:hAnsi="Calibri" w:cs="Calibri"/>
          <w:color w:val="000000"/>
        </w:rPr>
        <w:t>′</w:t>
      </w:r>
      <w:r w:rsidRPr="00E7239F">
        <w:rPr>
          <w:rFonts w:ascii="Times" w:hAnsi="Times" w:cs="Times"/>
          <w:color w:val="000000"/>
        </w:rPr>
        <w:t xml:space="preserve"> (i.e. separated from neither parent) as their final separation status transition in the table. </w:t>
      </w:r>
    </w:p>
    <w:p w14:paraId="75A45F26"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3.6. Goodness-of-fit comparison across multiple exposure models: AIC values </w:t>
      </w:r>
    </w:p>
    <w:p w14:paraId="3DE330A9"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For each of the </w:t>
      </w:r>
      <w:proofErr w:type="gramStart"/>
      <w:r w:rsidRPr="00E7239F">
        <w:rPr>
          <w:rFonts w:ascii="Times" w:hAnsi="Times" w:cs="Times"/>
          <w:color w:val="000000"/>
        </w:rPr>
        <w:t>seven specific</w:t>
      </w:r>
      <w:proofErr w:type="gramEnd"/>
      <w:r w:rsidRPr="00E7239F">
        <w:rPr>
          <w:rFonts w:ascii="Times" w:hAnsi="Times" w:cs="Times"/>
          <w:color w:val="000000"/>
        </w:rPr>
        <w:t xml:space="preserve"> child-parent separation classifications modelled we calculated the </w:t>
      </w:r>
      <w:proofErr w:type="spellStart"/>
      <w:r w:rsidRPr="00E7239F">
        <w:rPr>
          <w:rFonts w:ascii="Times" w:hAnsi="Times" w:cs="Times"/>
          <w:color w:val="000000"/>
        </w:rPr>
        <w:t>Akaike</w:t>
      </w:r>
      <w:proofErr w:type="spellEnd"/>
      <w:r w:rsidRPr="00E7239F">
        <w:rPr>
          <w:rFonts w:ascii="Times" w:hAnsi="Times" w:cs="Times"/>
          <w:color w:val="000000"/>
        </w:rPr>
        <w:t xml:space="preserve"> Information Criterion (AIC), as presented in Table 3. The exposure classification with the closest fit to the data, and that therefore best described the association, was age at first child-parent separation. Duration of separation and of familial cohesion also yielded especially good fits. The highest AIC </w:t>
      </w:r>
      <w:proofErr w:type="gramStart"/>
      <w:r w:rsidRPr="00E7239F">
        <w:rPr>
          <w:rFonts w:ascii="Times" w:hAnsi="Times" w:cs="Times"/>
          <w:color w:val="000000"/>
        </w:rPr>
        <w:t>value</w:t>
      </w:r>
      <w:proofErr w:type="gramEnd"/>
      <w:r w:rsidRPr="00E7239F">
        <w:rPr>
          <w:rFonts w:ascii="Times" w:hAnsi="Times" w:cs="Times"/>
          <w:color w:val="000000"/>
        </w:rPr>
        <w:t xml:space="preserve"> </w:t>
      </w:r>
    </w:p>
    <w:p w14:paraId="4FCEA6F9" w14:textId="1F8B1B35" w:rsidR="00E7239F" w:rsidRPr="00E7239F" w:rsidRDefault="00E7239F" w:rsidP="00E7239F">
      <w:pPr>
        <w:widowControl w:val="0"/>
        <w:autoSpaceDE w:val="0"/>
        <w:autoSpaceDN w:val="0"/>
        <w:adjustRightInd w:val="0"/>
        <w:spacing w:after="240" w:line="280" w:lineRule="atLeast"/>
        <w:rPr>
          <w:rFonts w:ascii="Times" w:hAnsi="Times" w:cs="Times"/>
          <w:color w:val="000000"/>
        </w:rPr>
      </w:pPr>
    </w:p>
    <w:p w14:paraId="45E887A8"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Fig. 2</w:t>
      </w:r>
      <w:proofErr w:type="gramStart"/>
      <w:r w:rsidRPr="00E7239F">
        <w:rPr>
          <w:rFonts w:ascii="Times" w:hAnsi="Times" w:cs="Times"/>
          <w:color w:val="000000"/>
        </w:rPr>
        <w:t>. :</w:t>
      </w:r>
      <w:proofErr w:type="gramEnd"/>
      <w:r w:rsidRPr="00E7239F">
        <w:rPr>
          <w:rFonts w:ascii="Times" w:hAnsi="Times" w:cs="Times"/>
          <w:color w:val="000000"/>
        </w:rPr>
        <w:t xml:space="preserve"> Incidence rate ratios for self-harm from age 15 according to duration in years of familial cohesion between birth and 15th birthday. Footnote: No incidence rate ratio value is presented for 15 years on the X-axis because this was the reference category (i.e. IRR =1.0; the child experienced no period of separation from either or both of their parents between their birth and their 15th birthday). </w:t>
      </w:r>
    </w:p>
    <w:p w14:paraId="04A912C6"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585 </w:t>
      </w:r>
    </w:p>
    <w:p w14:paraId="6541E821"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A. </w:t>
      </w:r>
      <w:proofErr w:type="spellStart"/>
      <w:r w:rsidRPr="00E7239F">
        <w:rPr>
          <w:rFonts w:ascii="Times" w:hAnsi="Times" w:cs="Times"/>
          <w:color w:val="000000"/>
        </w:rPr>
        <w:t>Astrup</w:t>
      </w:r>
      <w:proofErr w:type="spellEnd"/>
      <w:r w:rsidRPr="00E7239F">
        <w:rPr>
          <w:rFonts w:ascii="Times" w:hAnsi="Times" w:cs="Times"/>
          <w:color w:val="000000"/>
        </w:rPr>
        <w:t xml:space="preserve"> et al. </w:t>
      </w:r>
      <w:r w:rsidRPr="00E7239F">
        <w:rPr>
          <w:rFonts w:ascii="Times" w:hAnsi="Times" w:cs="Times"/>
          <w:i/>
          <w:iCs/>
          <w:color w:val="000000"/>
        </w:rPr>
        <w:t xml:space="preserve">Journal of Affective Disorders 208 (2017) 582–589 </w:t>
      </w:r>
    </w:p>
    <w:p w14:paraId="2C732EA7" w14:textId="00D5A798" w:rsidR="00E7239F" w:rsidRPr="00E7239F" w:rsidRDefault="00E7239F" w:rsidP="00E7239F">
      <w:pPr>
        <w:widowControl w:val="0"/>
        <w:autoSpaceDE w:val="0"/>
        <w:autoSpaceDN w:val="0"/>
        <w:adjustRightInd w:val="0"/>
        <w:spacing w:after="240" w:line="280" w:lineRule="atLeast"/>
        <w:rPr>
          <w:rFonts w:ascii="Times" w:hAnsi="Times" w:cs="Times"/>
          <w:color w:val="000000"/>
        </w:rPr>
      </w:pPr>
    </w:p>
    <w:p w14:paraId="59D18F63"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Fig. 3</w:t>
      </w:r>
      <w:proofErr w:type="gramStart"/>
      <w:r w:rsidRPr="00E7239F">
        <w:rPr>
          <w:rFonts w:ascii="Times" w:hAnsi="Times" w:cs="Times"/>
          <w:color w:val="000000"/>
        </w:rPr>
        <w:t>. :</w:t>
      </w:r>
      <w:proofErr w:type="gramEnd"/>
      <w:r w:rsidRPr="00E7239F">
        <w:rPr>
          <w:rFonts w:ascii="Times" w:hAnsi="Times" w:cs="Times"/>
          <w:color w:val="000000"/>
        </w:rPr>
        <w:t xml:space="preserve"> Incidence rate ratios for self-harm from age 15 according to duration in years of child-parent separation between birth and 15th birthday. Footnote: The reference category was constant for each of the 15 time-point measurements during upbringing; it consisted of individuals who experienced 15 complete years of not being separated from their mother, their father or either parent, depending on the specific type of child-parent separation under consideration. </w:t>
      </w:r>
    </w:p>
    <w:p w14:paraId="5776B72F"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observed was in relation to child-parent separation status at birth, indicating the poorest fit for the seven exposure models examined. The rank order of the AIC values did not change with additional adjustment of the models for parental socioeconomic status during the year that cohort members reached their 15th birthdays. As a sensitivity analysis, we also calculated Bayesian Information Criterion (BIC) values, and the same rank order according to goodness-of-fit was observed across the various exposure classifications as for the AIC values reported in Table 3 (results not shown). </w:t>
      </w:r>
    </w:p>
    <w:p w14:paraId="005E6756"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4. Discussion </w:t>
      </w:r>
    </w:p>
    <w:p w14:paraId="40AEF8E0"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4.1. Main findings Our population-based cohort study has generated unique evidence </w:t>
      </w:r>
    </w:p>
    <w:p w14:paraId="138E90C8"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Table 2 </w:t>
      </w:r>
    </w:p>
    <w:p w14:paraId="5F54FDA1"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illustrating how relative risk of self-harm in the longer term up to early middle age varies across various exposure classifications reflecting child-parent separation during upbringing. Self-harm risk was </w:t>
      </w:r>
      <w:proofErr w:type="spellStart"/>
      <w:r w:rsidRPr="00E7239F">
        <w:rPr>
          <w:rFonts w:ascii="Times" w:hAnsi="Times" w:cs="Times"/>
          <w:color w:val="000000"/>
        </w:rPr>
        <w:t>consis</w:t>
      </w:r>
      <w:proofErr w:type="spellEnd"/>
      <w:r w:rsidRPr="00E7239F">
        <w:rPr>
          <w:rFonts w:ascii="Times" w:hAnsi="Times" w:cs="Times"/>
          <w:color w:val="000000"/>
        </w:rPr>
        <w:t xml:space="preserve">- </w:t>
      </w:r>
      <w:proofErr w:type="spellStart"/>
      <w:r w:rsidRPr="00E7239F">
        <w:rPr>
          <w:rFonts w:ascii="Times" w:hAnsi="Times" w:cs="Times"/>
          <w:color w:val="000000"/>
        </w:rPr>
        <w:t>tently</w:t>
      </w:r>
      <w:proofErr w:type="spellEnd"/>
      <w:r w:rsidRPr="00E7239F">
        <w:rPr>
          <w:rFonts w:ascii="Times" w:hAnsi="Times" w:cs="Times"/>
          <w:color w:val="000000"/>
        </w:rPr>
        <w:t xml:space="preserve"> elevated for each exposure model in the set that we examined. The consistency and strength of association observed indicates that child-parent separation may be an important component in the </w:t>
      </w:r>
      <w:proofErr w:type="spellStart"/>
      <w:r w:rsidRPr="00E7239F">
        <w:rPr>
          <w:rFonts w:ascii="Times" w:hAnsi="Times" w:cs="Times"/>
          <w:color w:val="000000"/>
        </w:rPr>
        <w:t>aetiology</w:t>
      </w:r>
      <w:proofErr w:type="spellEnd"/>
      <w:r w:rsidRPr="00E7239F">
        <w:rPr>
          <w:rFonts w:ascii="Times" w:hAnsi="Times" w:cs="Times"/>
          <w:color w:val="000000"/>
        </w:rPr>
        <w:t xml:space="preserve"> of self-harm in the general population. The exposure </w:t>
      </w:r>
      <w:proofErr w:type="spellStart"/>
      <w:r w:rsidRPr="00E7239F">
        <w:rPr>
          <w:rFonts w:ascii="Times" w:hAnsi="Times" w:cs="Times"/>
          <w:color w:val="000000"/>
        </w:rPr>
        <w:t>classi</w:t>
      </w:r>
      <w:proofErr w:type="spellEnd"/>
      <w:r w:rsidRPr="00E7239F">
        <w:rPr>
          <w:rFonts w:ascii="Times" w:hAnsi="Times" w:cs="Times"/>
          <w:color w:val="000000"/>
        </w:rPr>
        <w:t xml:space="preserve">- </w:t>
      </w:r>
      <w:proofErr w:type="spellStart"/>
      <w:r w:rsidRPr="00E7239F">
        <w:rPr>
          <w:rFonts w:ascii="Times" w:hAnsi="Times" w:cs="Times"/>
          <w:color w:val="000000"/>
        </w:rPr>
        <w:t>fications</w:t>
      </w:r>
      <w:proofErr w:type="spellEnd"/>
      <w:r w:rsidRPr="00E7239F">
        <w:rPr>
          <w:rFonts w:ascii="Times" w:hAnsi="Times" w:cs="Times"/>
          <w:color w:val="000000"/>
        </w:rPr>
        <w:t xml:space="preserve"> age at first separation, duration of separation, and duration of familial cohesion produced the best model fits. Especially large risks elevations were observed for being separated from both parents during early adolescence and at 15th birthday, passing through a greater number of separation status transitions, and experiencing a shorter duration of familial cohesion during upbringing. Child-parent </w:t>
      </w:r>
      <w:proofErr w:type="spellStart"/>
      <w:r w:rsidRPr="00E7239F">
        <w:rPr>
          <w:rFonts w:ascii="Times" w:hAnsi="Times" w:cs="Times"/>
          <w:color w:val="000000"/>
        </w:rPr>
        <w:t>separa</w:t>
      </w:r>
      <w:proofErr w:type="spellEnd"/>
      <w:r w:rsidRPr="00E7239F">
        <w:rPr>
          <w:rFonts w:ascii="Times" w:hAnsi="Times" w:cs="Times"/>
          <w:color w:val="000000"/>
        </w:rPr>
        <w:t xml:space="preserve">- </w:t>
      </w:r>
      <w:proofErr w:type="spellStart"/>
      <w:r w:rsidRPr="00E7239F">
        <w:rPr>
          <w:rFonts w:ascii="Times" w:hAnsi="Times" w:cs="Times"/>
          <w:color w:val="000000"/>
        </w:rPr>
        <w:t>tion</w:t>
      </w:r>
      <w:proofErr w:type="spellEnd"/>
      <w:r w:rsidRPr="00E7239F">
        <w:rPr>
          <w:rFonts w:ascii="Times" w:hAnsi="Times" w:cs="Times"/>
          <w:color w:val="000000"/>
        </w:rPr>
        <w:t xml:space="preserve"> was consistently linked with elevated self-harm risk, even for those subgroups where cohort members were reunited with both parents by </w:t>
      </w:r>
    </w:p>
    <w:p w14:paraId="5A92F370"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Incidence rate ratios for self-harm from age 15 in relation to specific child-parent separation trajectories during upbringing with an exposure prevalence of 0.1% or greater. </w:t>
      </w:r>
    </w:p>
    <w:p w14:paraId="5291E362" w14:textId="6D0F215C"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drawing>
          <wp:inline distT="0" distB="0" distL="0" distR="0" wp14:anchorId="26A5F6BE" wp14:editId="3BEC2333">
            <wp:extent cx="4669790" cy="1079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69790" cy="10795"/>
                    </a:xfrm>
                    <a:prstGeom prst="rect">
                      <a:avLst/>
                    </a:prstGeom>
                    <a:noFill/>
                    <a:ln>
                      <a:noFill/>
                    </a:ln>
                  </pic:spPr>
                </pic:pic>
              </a:graphicData>
            </a:graphic>
          </wp:inline>
        </w:drawing>
      </w:r>
    </w:p>
    <w:p w14:paraId="41CCFC52" w14:textId="77777777" w:rsidR="00E7239F" w:rsidRPr="00E7239F" w:rsidRDefault="00E7239F" w:rsidP="009C6B50">
      <w:pPr>
        <w:widowControl w:val="0"/>
        <w:autoSpaceDE w:val="0"/>
        <w:autoSpaceDN w:val="0"/>
        <w:adjustRightInd w:val="0"/>
        <w:spacing w:after="240"/>
        <w:rPr>
          <w:rFonts w:ascii="Times" w:hAnsi="Times" w:cs="Times"/>
          <w:color w:val="000000"/>
        </w:rPr>
      </w:pPr>
      <w:r w:rsidRPr="00E7239F">
        <w:rPr>
          <w:rFonts w:ascii="Times" w:hAnsi="Times" w:cs="Times"/>
          <w:color w:val="000000"/>
        </w:rPr>
        <w:t xml:space="preserve">Separation </w:t>
      </w:r>
      <w:proofErr w:type="spellStart"/>
      <w:r w:rsidRPr="00E7239F">
        <w:rPr>
          <w:rFonts w:ascii="Times" w:hAnsi="Times" w:cs="Times"/>
          <w:color w:val="000000"/>
        </w:rPr>
        <w:t>trajectoriesa</w:t>
      </w:r>
      <w:proofErr w:type="spellEnd"/>
      <w:r w:rsidRPr="00E7239F">
        <w:rPr>
          <w:rFonts w:ascii="Times" w:hAnsi="Times" w:cs="Times"/>
          <w:color w:val="000000"/>
        </w:rPr>
        <w:t xml:space="preserve"> N </w:t>
      </w:r>
    </w:p>
    <w:p w14:paraId="6FF8A7D5" w14:textId="77777777" w:rsidR="00E7239F" w:rsidRPr="00E7239F" w:rsidRDefault="00E7239F" w:rsidP="009C6B50">
      <w:pPr>
        <w:widowControl w:val="0"/>
        <w:autoSpaceDE w:val="0"/>
        <w:autoSpaceDN w:val="0"/>
        <w:adjustRightInd w:val="0"/>
        <w:spacing w:after="240"/>
        <w:rPr>
          <w:rFonts w:ascii="Times" w:hAnsi="Times" w:cs="Times"/>
          <w:color w:val="000000"/>
        </w:rPr>
      </w:pPr>
      <w:r w:rsidRPr="00E7239F">
        <w:rPr>
          <w:rFonts w:ascii="Times" w:hAnsi="Times" w:cs="Times"/>
          <w:color w:val="000000"/>
        </w:rPr>
        <w:t>N</w:t>
      </w:r>
      <w:r w:rsidRPr="00E7239F">
        <w:rPr>
          <w:rFonts w:ascii="Calibri" w:eastAsia="Calibri" w:hAnsi="Calibri" w:cs="Calibri"/>
          <w:color w:val="000000"/>
        </w:rPr>
        <w:t>→</w:t>
      </w:r>
      <w:r w:rsidRPr="00E7239F">
        <w:rPr>
          <w:rFonts w:ascii="Times" w:hAnsi="Times" w:cs="Times"/>
          <w:color w:val="000000"/>
        </w:rPr>
        <w:t>F N</w:t>
      </w:r>
      <w:r w:rsidRPr="00E7239F">
        <w:rPr>
          <w:rFonts w:ascii="Calibri" w:eastAsia="Calibri" w:hAnsi="Calibri" w:cs="Calibri"/>
          <w:color w:val="000000"/>
        </w:rPr>
        <w:t>→</w:t>
      </w:r>
      <w:r w:rsidRPr="00E7239F">
        <w:rPr>
          <w:rFonts w:ascii="Times" w:hAnsi="Times" w:cs="Times"/>
          <w:color w:val="000000"/>
        </w:rPr>
        <w:t>F</w:t>
      </w:r>
      <w:r w:rsidRPr="00E7239F">
        <w:rPr>
          <w:rFonts w:ascii="Calibri" w:eastAsia="Calibri" w:hAnsi="Calibri" w:cs="Calibri"/>
          <w:color w:val="000000"/>
        </w:rPr>
        <w:t>→</w:t>
      </w:r>
      <w:r w:rsidRPr="00E7239F">
        <w:rPr>
          <w:rFonts w:ascii="Times" w:hAnsi="Times" w:cs="Times"/>
          <w:color w:val="000000"/>
        </w:rPr>
        <w:t>N N</w:t>
      </w:r>
      <w:r w:rsidRPr="00E7239F">
        <w:rPr>
          <w:rFonts w:ascii="Calibri" w:eastAsia="Calibri" w:hAnsi="Calibri" w:cs="Calibri"/>
          <w:color w:val="000000"/>
        </w:rPr>
        <w:t>→</w:t>
      </w:r>
      <w:r w:rsidRPr="00E7239F">
        <w:rPr>
          <w:rFonts w:ascii="Times" w:hAnsi="Times" w:cs="Times"/>
          <w:color w:val="000000"/>
        </w:rPr>
        <w:t xml:space="preserve">M F </w:t>
      </w:r>
    </w:p>
    <w:p w14:paraId="314B929C" w14:textId="77777777" w:rsidR="00E7239F" w:rsidRPr="00E7239F" w:rsidRDefault="00E7239F" w:rsidP="009C6B50">
      <w:pPr>
        <w:widowControl w:val="0"/>
        <w:autoSpaceDE w:val="0"/>
        <w:autoSpaceDN w:val="0"/>
        <w:adjustRightInd w:val="0"/>
        <w:spacing w:after="240"/>
        <w:rPr>
          <w:rFonts w:ascii="Times" w:hAnsi="Times" w:cs="Times"/>
          <w:color w:val="000000"/>
        </w:rPr>
      </w:pPr>
      <w:r w:rsidRPr="00E7239F">
        <w:rPr>
          <w:rFonts w:ascii="Times" w:hAnsi="Times" w:cs="Times"/>
          <w:color w:val="000000"/>
        </w:rPr>
        <w:t>F</w:t>
      </w:r>
      <w:r w:rsidRPr="00E7239F">
        <w:rPr>
          <w:rFonts w:ascii="Calibri" w:eastAsia="Calibri" w:hAnsi="Calibri" w:cs="Calibri"/>
          <w:color w:val="000000"/>
        </w:rPr>
        <w:t>→</w:t>
      </w:r>
      <w:r w:rsidRPr="00E7239F">
        <w:rPr>
          <w:rFonts w:ascii="Times" w:hAnsi="Times" w:cs="Times"/>
          <w:color w:val="000000"/>
        </w:rPr>
        <w:t>N N</w:t>
      </w:r>
      <w:r w:rsidRPr="00E7239F">
        <w:rPr>
          <w:rFonts w:ascii="Calibri" w:eastAsia="Calibri" w:hAnsi="Calibri" w:cs="Calibri"/>
          <w:color w:val="000000"/>
        </w:rPr>
        <w:t>→</w:t>
      </w:r>
      <w:r w:rsidRPr="00E7239F">
        <w:rPr>
          <w:rFonts w:ascii="Times" w:hAnsi="Times" w:cs="Times"/>
          <w:color w:val="000000"/>
        </w:rPr>
        <w:t>F</w:t>
      </w:r>
      <w:r w:rsidRPr="00E7239F">
        <w:rPr>
          <w:rFonts w:ascii="Calibri" w:eastAsia="Calibri" w:hAnsi="Calibri" w:cs="Calibri"/>
          <w:color w:val="000000"/>
        </w:rPr>
        <w:t>→</w:t>
      </w:r>
      <w:r w:rsidRPr="00E7239F">
        <w:rPr>
          <w:rFonts w:ascii="Times" w:hAnsi="Times" w:cs="Times"/>
          <w:color w:val="000000"/>
        </w:rPr>
        <w:t>N</w:t>
      </w:r>
      <w:r w:rsidRPr="00E7239F">
        <w:rPr>
          <w:rFonts w:ascii="Calibri" w:eastAsia="Calibri" w:hAnsi="Calibri" w:cs="Calibri"/>
          <w:color w:val="000000"/>
        </w:rPr>
        <w:t>→</w:t>
      </w:r>
      <w:r w:rsidRPr="00E7239F">
        <w:rPr>
          <w:rFonts w:ascii="Times" w:hAnsi="Times" w:cs="Times"/>
          <w:color w:val="000000"/>
        </w:rPr>
        <w:t>F N</w:t>
      </w:r>
      <w:r w:rsidRPr="00E7239F">
        <w:rPr>
          <w:rFonts w:ascii="Calibri" w:eastAsia="Calibri" w:hAnsi="Calibri" w:cs="Calibri"/>
          <w:color w:val="000000"/>
        </w:rPr>
        <w:t>→</w:t>
      </w:r>
      <w:r w:rsidRPr="00E7239F">
        <w:rPr>
          <w:rFonts w:ascii="Times" w:hAnsi="Times" w:cs="Times"/>
          <w:color w:val="000000"/>
        </w:rPr>
        <w:t>F</w:t>
      </w:r>
      <w:r w:rsidRPr="00E7239F">
        <w:rPr>
          <w:rFonts w:ascii="Calibri" w:eastAsia="Calibri" w:hAnsi="Calibri" w:cs="Calibri"/>
          <w:color w:val="000000"/>
        </w:rPr>
        <w:t>→</w:t>
      </w:r>
      <w:r w:rsidRPr="00E7239F">
        <w:rPr>
          <w:rFonts w:ascii="Times" w:hAnsi="Times" w:cs="Times"/>
          <w:color w:val="000000"/>
        </w:rPr>
        <w:t>M F</w:t>
      </w:r>
      <w:r w:rsidRPr="00E7239F">
        <w:rPr>
          <w:rFonts w:ascii="Calibri" w:eastAsia="Calibri" w:hAnsi="Calibri" w:cs="Calibri"/>
          <w:color w:val="000000"/>
        </w:rPr>
        <w:t>→</w:t>
      </w:r>
      <w:r w:rsidRPr="00E7239F">
        <w:rPr>
          <w:rFonts w:ascii="Times" w:hAnsi="Times" w:cs="Times"/>
          <w:color w:val="000000"/>
        </w:rPr>
        <w:t>N</w:t>
      </w:r>
      <w:r w:rsidRPr="00E7239F">
        <w:rPr>
          <w:rFonts w:ascii="Calibri" w:eastAsia="Calibri" w:hAnsi="Calibri" w:cs="Calibri"/>
          <w:color w:val="000000"/>
        </w:rPr>
        <w:t>→</w:t>
      </w:r>
      <w:r w:rsidRPr="00E7239F">
        <w:rPr>
          <w:rFonts w:ascii="Times" w:hAnsi="Times" w:cs="Times"/>
          <w:color w:val="000000"/>
        </w:rPr>
        <w:t>F N</w:t>
      </w:r>
      <w:r w:rsidRPr="00E7239F">
        <w:rPr>
          <w:rFonts w:ascii="Calibri" w:eastAsia="Calibri" w:hAnsi="Calibri" w:cs="Calibri"/>
          <w:color w:val="000000"/>
        </w:rPr>
        <w:t>→</w:t>
      </w:r>
      <w:r w:rsidRPr="00E7239F">
        <w:rPr>
          <w:rFonts w:ascii="Times" w:hAnsi="Times" w:cs="Times"/>
          <w:color w:val="000000"/>
        </w:rPr>
        <w:t>M</w:t>
      </w:r>
      <w:r w:rsidRPr="00E7239F">
        <w:rPr>
          <w:rFonts w:ascii="Calibri" w:eastAsia="Calibri" w:hAnsi="Calibri" w:cs="Calibri"/>
          <w:color w:val="000000"/>
        </w:rPr>
        <w:t>→</w:t>
      </w:r>
      <w:r w:rsidRPr="00E7239F">
        <w:rPr>
          <w:rFonts w:ascii="Times" w:hAnsi="Times" w:cs="Times"/>
          <w:color w:val="000000"/>
        </w:rPr>
        <w:t>F N</w:t>
      </w:r>
      <w:r w:rsidRPr="00E7239F">
        <w:rPr>
          <w:rFonts w:ascii="Calibri" w:eastAsia="Calibri" w:hAnsi="Calibri" w:cs="Calibri"/>
          <w:color w:val="000000"/>
        </w:rPr>
        <w:t>→</w:t>
      </w:r>
      <w:r w:rsidRPr="00E7239F">
        <w:rPr>
          <w:rFonts w:ascii="Times" w:hAnsi="Times" w:cs="Times"/>
          <w:color w:val="000000"/>
        </w:rPr>
        <w:t>F</w:t>
      </w:r>
      <w:r w:rsidRPr="00E7239F">
        <w:rPr>
          <w:rFonts w:ascii="Calibri" w:eastAsia="Calibri" w:hAnsi="Calibri" w:cs="Calibri"/>
          <w:color w:val="000000"/>
        </w:rPr>
        <w:t>→</w:t>
      </w:r>
      <w:r w:rsidRPr="00E7239F">
        <w:rPr>
          <w:rFonts w:ascii="Times" w:hAnsi="Times" w:cs="Times"/>
          <w:color w:val="000000"/>
        </w:rPr>
        <w:t>FM N</w:t>
      </w:r>
      <w:r w:rsidRPr="00E7239F">
        <w:rPr>
          <w:rFonts w:ascii="Calibri" w:eastAsia="Calibri" w:hAnsi="Calibri" w:cs="Calibri"/>
          <w:color w:val="000000"/>
        </w:rPr>
        <w:t>→</w:t>
      </w:r>
      <w:r w:rsidRPr="00E7239F">
        <w:rPr>
          <w:rFonts w:ascii="Times" w:hAnsi="Times" w:cs="Times"/>
          <w:color w:val="000000"/>
        </w:rPr>
        <w:t>FM N</w:t>
      </w:r>
      <w:r w:rsidRPr="00E7239F">
        <w:rPr>
          <w:rFonts w:ascii="Calibri" w:eastAsia="Calibri" w:hAnsi="Calibri" w:cs="Calibri"/>
          <w:color w:val="000000"/>
        </w:rPr>
        <w:t>→</w:t>
      </w:r>
      <w:r w:rsidRPr="00E7239F">
        <w:rPr>
          <w:rFonts w:ascii="Times" w:hAnsi="Times" w:cs="Times"/>
          <w:color w:val="000000"/>
        </w:rPr>
        <w:t>M</w:t>
      </w:r>
      <w:r w:rsidRPr="00E7239F">
        <w:rPr>
          <w:rFonts w:ascii="Calibri" w:eastAsia="Calibri" w:hAnsi="Calibri" w:cs="Calibri"/>
          <w:color w:val="000000"/>
        </w:rPr>
        <w:t>→</w:t>
      </w:r>
      <w:r w:rsidRPr="00E7239F">
        <w:rPr>
          <w:rFonts w:ascii="Times" w:hAnsi="Times" w:cs="Times"/>
          <w:color w:val="000000"/>
        </w:rPr>
        <w:t>N N</w:t>
      </w:r>
      <w:r w:rsidRPr="00E7239F">
        <w:rPr>
          <w:rFonts w:ascii="Calibri" w:eastAsia="Calibri" w:hAnsi="Calibri" w:cs="Calibri"/>
          <w:color w:val="000000"/>
        </w:rPr>
        <w:t>→</w:t>
      </w:r>
      <w:r w:rsidRPr="00E7239F">
        <w:rPr>
          <w:rFonts w:ascii="Times" w:hAnsi="Times" w:cs="Times"/>
          <w:color w:val="000000"/>
        </w:rPr>
        <w:t>F</w:t>
      </w:r>
      <w:r w:rsidRPr="00E7239F">
        <w:rPr>
          <w:rFonts w:ascii="Calibri" w:eastAsia="Calibri" w:hAnsi="Calibri" w:cs="Calibri"/>
          <w:color w:val="000000"/>
        </w:rPr>
        <w:t>→</w:t>
      </w:r>
      <w:r w:rsidRPr="00E7239F">
        <w:rPr>
          <w:rFonts w:ascii="Times" w:hAnsi="Times" w:cs="Times"/>
          <w:color w:val="000000"/>
        </w:rPr>
        <w:t>M</w:t>
      </w:r>
      <w:r w:rsidRPr="00E7239F">
        <w:rPr>
          <w:rFonts w:ascii="Calibri" w:eastAsia="Calibri" w:hAnsi="Calibri" w:cs="Calibri"/>
          <w:color w:val="000000"/>
        </w:rPr>
        <w:t>→</w:t>
      </w:r>
      <w:r w:rsidRPr="00E7239F">
        <w:rPr>
          <w:rFonts w:ascii="Times" w:hAnsi="Times" w:cs="Times"/>
          <w:color w:val="000000"/>
        </w:rPr>
        <w:t>F N</w:t>
      </w:r>
      <w:r w:rsidRPr="00E7239F">
        <w:rPr>
          <w:rFonts w:ascii="Calibri" w:eastAsia="Calibri" w:hAnsi="Calibri" w:cs="Calibri"/>
          <w:color w:val="000000"/>
        </w:rPr>
        <w:t>→</w:t>
      </w:r>
      <w:r w:rsidRPr="00E7239F">
        <w:rPr>
          <w:rFonts w:ascii="Times" w:hAnsi="Times" w:cs="Times"/>
          <w:color w:val="000000"/>
        </w:rPr>
        <w:t>F</w:t>
      </w:r>
      <w:r w:rsidRPr="00E7239F">
        <w:rPr>
          <w:rFonts w:ascii="Calibri" w:eastAsia="Calibri" w:hAnsi="Calibri" w:cs="Calibri"/>
          <w:color w:val="000000"/>
        </w:rPr>
        <w:t>→</w:t>
      </w:r>
      <w:r w:rsidRPr="00E7239F">
        <w:rPr>
          <w:rFonts w:ascii="Times" w:hAnsi="Times" w:cs="Times"/>
          <w:color w:val="000000"/>
        </w:rPr>
        <w:t>N</w:t>
      </w:r>
      <w:r w:rsidRPr="00E7239F">
        <w:rPr>
          <w:rFonts w:ascii="Calibri" w:eastAsia="Calibri" w:hAnsi="Calibri" w:cs="Calibri"/>
          <w:color w:val="000000"/>
        </w:rPr>
        <w:t>→</w:t>
      </w:r>
      <w:r w:rsidRPr="00E7239F">
        <w:rPr>
          <w:rFonts w:ascii="Times" w:hAnsi="Times" w:cs="Times"/>
          <w:color w:val="000000"/>
        </w:rPr>
        <w:t>F</w:t>
      </w:r>
      <w:r w:rsidRPr="00E7239F">
        <w:rPr>
          <w:rFonts w:ascii="Calibri" w:eastAsia="Calibri" w:hAnsi="Calibri" w:cs="Calibri"/>
          <w:color w:val="000000"/>
        </w:rPr>
        <w:t>→</w:t>
      </w:r>
      <w:r w:rsidRPr="00E7239F">
        <w:rPr>
          <w:rFonts w:ascii="Times" w:hAnsi="Times" w:cs="Times"/>
          <w:color w:val="000000"/>
        </w:rPr>
        <w:t>N FM F</w:t>
      </w:r>
      <w:r w:rsidRPr="00E7239F">
        <w:rPr>
          <w:rFonts w:ascii="Calibri" w:eastAsia="Calibri" w:hAnsi="Calibri" w:cs="Calibri"/>
          <w:color w:val="000000"/>
        </w:rPr>
        <w:t>→</w:t>
      </w:r>
      <w:r w:rsidRPr="00E7239F">
        <w:rPr>
          <w:rFonts w:ascii="Times" w:hAnsi="Times" w:cs="Times"/>
          <w:color w:val="000000"/>
        </w:rPr>
        <w:t>FM F</w:t>
      </w:r>
      <w:r w:rsidRPr="00E7239F">
        <w:rPr>
          <w:rFonts w:ascii="Calibri" w:eastAsia="Calibri" w:hAnsi="Calibri" w:cs="Calibri"/>
          <w:color w:val="000000"/>
        </w:rPr>
        <w:t>→</w:t>
      </w:r>
      <w:r w:rsidRPr="00E7239F">
        <w:rPr>
          <w:rFonts w:ascii="Times" w:hAnsi="Times" w:cs="Times"/>
          <w:color w:val="000000"/>
        </w:rPr>
        <w:t>N</w:t>
      </w:r>
      <w:r w:rsidRPr="00E7239F">
        <w:rPr>
          <w:rFonts w:ascii="Calibri" w:eastAsia="Calibri" w:hAnsi="Calibri" w:cs="Calibri"/>
          <w:color w:val="000000"/>
        </w:rPr>
        <w:t>→</w:t>
      </w:r>
      <w:r w:rsidRPr="00E7239F">
        <w:rPr>
          <w:rFonts w:ascii="Times" w:hAnsi="Times" w:cs="Times"/>
          <w:color w:val="000000"/>
        </w:rPr>
        <w:t>F</w:t>
      </w:r>
      <w:r w:rsidRPr="00E7239F">
        <w:rPr>
          <w:rFonts w:ascii="Calibri" w:eastAsia="Calibri" w:hAnsi="Calibri" w:cs="Calibri"/>
          <w:color w:val="000000"/>
        </w:rPr>
        <w:t>→</w:t>
      </w:r>
      <w:r w:rsidRPr="00E7239F">
        <w:rPr>
          <w:rFonts w:ascii="Times" w:hAnsi="Times" w:cs="Times"/>
          <w:color w:val="000000"/>
        </w:rPr>
        <w:t>N N</w:t>
      </w:r>
      <w:r w:rsidRPr="00E7239F">
        <w:rPr>
          <w:rFonts w:ascii="Calibri" w:eastAsia="Calibri" w:hAnsi="Calibri" w:cs="Calibri"/>
          <w:color w:val="000000"/>
        </w:rPr>
        <w:t>→</w:t>
      </w:r>
      <w:r w:rsidRPr="00E7239F">
        <w:rPr>
          <w:rFonts w:ascii="Times" w:hAnsi="Times" w:cs="Times"/>
          <w:color w:val="000000"/>
        </w:rPr>
        <w:t>F</w:t>
      </w:r>
      <w:r w:rsidRPr="00E7239F">
        <w:rPr>
          <w:rFonts w:ascii="Calibri" w:eastAsia="Calibri" w:hAnsi="Calibri" w:cs="Calibri"/>
          <w:color w:val="000000"/>
        </w:rPr>
        <w:t>→</w:t>
      </w:r>
      <w:r w:rsidRPr="00E7239F">
        <w:rPr>
          <w:rFonts w:ascii="Times" w:hAnsi="Times" w:cs="Times"/>
          <w:color w:val="000000"/>
        </w:rPr>
        <w:t>N</w:t>
      </w:r>
      <w:r w:rsidRPr="00E7239F">
        <w:rPr>
          <w:rFonts w:ascii="Calibri" w:eastAsia="Calibri" w:hAnsi="Calibri" w:cs="Calibri"/>
          <w:color w:val="000000"/>
        </w:rPr>
        <w:t>→</w:t>
      </w:r>
      <w:r w:rsidRPr="00E7239F">
        <w:rPr>
          <w:rFonts w:ascii="Times" w:hAnsi="Times" w:cs="Times"/>
          <w:color w:val="000000"/>
        </w:rPr>
        <w:t>F</w:t>
      </w:r>
      <w:r w:rsidRPr="00E7239F">
        <w:rPr>
          <w:rFonts w:ascii="Calibri" w:eastAsia="Calibri" w:hAnsi="Calibri" w:cs="Calibri"/>
          <w:color w:val="000000"/>
        </w:rPr>
        <w:t>→</w:t>
      </w:r>
      <w:r w:rsidRPr="00E7239F">
        <w:rPr>
          <w:rFonts w:ascii="Times" w:hAnsi="Times" w:cs="Times"/>
          <w:color w:val="000000"/>
        </w:rPr>
        <w:t>N</w:t>
      </w:r>
      <w:r w:rsidRPr="00E7239F">
        <w:rPr>
          <w:rFonts w:ascii="Calibri" w:eastAsia="Calibri" w:hAnsi="Calibri" w:cs="Calibri"/>
          <w:color w:val="000000"/>
        </w:rPr>
        <w:t>→</w:t>
      </w:r>
      <w:r w:rsidRPr="00E7239F">
        <w:rPr>
          <w:rFonts w:ascii="Times" w:hAnsi="Times" w:cs="Times"/>
          <w:color w:val="000000"/>
        </w:rPr>
        <w:t>F N</w:t>
      </w:r>
      <w:r w:rsidRPr="00E7239F">
        <w:rPr>
          <w:rFonts w:ascii="Calibri" w:eastAsia="Calibri" w:hAnsi="Calibri" w:cs="Calibri"/>
          <w:color w:val="000000"/>
        </w:rPr>
        <w:t>→</w:t>
      </w:r>
      <w:r w:rsidRPr="00E7239F">
        <w:rPr>
          <w:rFonts w:ascii="Times" w:hAnsi="Times" w:cs="Times"/>
          <w:color w:val="000000"/>
        </w:rPr>
        <w:t>F</w:t>
      </w:r>
      <w:r w:rsidRPr="00E7239F">
        <w:rPr>
          <w:rFonts w:ascii="Calibri" w:eastAsia="Calibri" w:hAnsi="Calibri" w:cs="Calibri"/>
          <w:color w:val="000000"/>
        </w:rPr>
        <w:t>→</w:t>
      </w:r>
      <w:r w:rsidRPr="00E7239F">
        <w:rPr>
          <w:rFonts w:ascii="Times" w:hAnsi="Times" w:cs="Times"/>
          <w:color w:val="000000"/>
        </w:rPr>
        <w:t>FM</w:t>
      </w:r>
      <w:r w:rsidRPr="00E7239F">
        <w:rPr>
          <w:rFonts w:ascii="Calibri" w:eastAsia="Calibri" w:hAnsi="Calibri" w:cs="Calibri"/>
          <w:color w:val="000000"/>
        </w:rPr>
        <w:t>→</w:t>
      </w:r>
      <w:r w:rsidRPr="00E7239F">
        <w:rPr>
          <w:rFonts w:ascii="Times" w:hAnsi="Times" w:cs="Times"/>
          <w:color w:val="000000"/>
        </w:rPr>
        <w:t>F N</w:t>
      </w:r>
      <w:r w:rsidRPr="00E7239F">
        <w:rPr>
          <w:rFonts w:ascii="Calibri" w:eastAsia="Calibri" w:hAnsi="Calibri" w:cs="Calibri"/>
          <w:color w:val="000000"/>
        </w:rPr>
        <w:t>→</w:t>
      </w:r>
      <w:r w:rsidRPr="00E7239F">
        <w:rPr>
          <w:rFonts w:ascii="Times" w:hAnsi="Times" w:cs="Times"/>
          <w:color w:val="000000"/>
        </w:rPr>
        <w:t>FM</w:t>
      </w:r>
      <w:r w:rsidRPr="00E7239F">
        <w:rPr>
          <w:rFonts w:ascii="Calibri" w:eastAsia="Calibri" w:hAnsi="Calibri" w:cs="Calibri"/>
          <w:color w:val="000000"/>
        </w:rPr>
        <w:t>→</w:t>
      </w:r>
      <w:r w:rsidRPr="00E7239F">
        <w:rPr>
          <w:rFonts w:ascii="Times" w:hAnsi="Times" w:cs="Times"/>
          <w:color w:val="000000"/>
        </w:rPr>
        <w:t>N F</w:t>
      </w:r>
      <w:r w:rsidRPr="00E7239F">
        <w:rPr>
          <w:rFonts w:ascii="Calibri" w:eastAsia="Calibri" w:hAnsi="Calibri" w:cs="Calibri"/>
          <w:color w:val="000000"/>
        </w:rPr>
        <w:t>→</w:t>
      </w:r>
      <w:r w:rsidRPr="00E7239F">
        <w:rPr>
          <w:rFonts w:ascii="Times" w:hAnsi="Times" w:cs="Times"/>
          <w:color w:val="000000"/>
        </w:rPr>
        <w:t>N</w:t>
      </w:r>
      <w:r w:rsidRPr="00E7239F">
        <w:rPr>
          <w:rFonts w:ascii="Calibri" w:eastAsia="Calibri" w:hAnsi="Calibri" w:cs="Calibri"/>
          <w:color w:val="000000"/>
        </w:rPr>
        <w:t>→</w:t>
      </w:r>
      <w:r w:rsidRPr="00E7239F">
        <w:rPr>
          <w:rFonts w:ascii="Times" w:hAnsi="Times" w:cs="Times"/>
          <w:color w:val="000000"/>
        </w:rPr>
        <w:t>F</w:t>
      </w:r>
      <w:r w:rsidRPr="00E7239F">
        <w:rPr>
          <w:rFonts w:ascii="Calibri" w:eastAsia="Calibri" w:hAnsi="Calibri" w:cs="Calibri"/>
          <w:color w:val="000000"/>
        </w:rPr>
        <w:t>→</w:t>
      </w:r>
      <w:r w:rsidRPr="00E7239F">
        <w:rPr>
          <w:rFonts w:ascii="Times" w:hAnsi="Times" w:cs="Times"/>
          <w:color w:val="000000"/>
        </w:rPr>
        <w:t>N</w:t>
      </w:r>
      <w:r w:rsidRPr="00E7239F">
        <w:rPr>
          <w:rFonts w:ascii="Calibri" w:eastAsia="Calibri" w:hAnsi="Calibri" w:cs="Calibri"/>
          <w:color w:val="000000"/>
        </w:rPr>
        <w:t>→</w:t>
      </w:r>
      <w:r w:rsidRPr="00E7239F">
        <w:rPr>
          <w:rFonts w:ascii="Times" w:hAnsi="Times" w:cs="Times"/>
          <w:color w:val="000000"/>
        </w:rPr>
        <w:t>F N</w:t>
      </w:r>
      <w:r w:rsidRPr="00E7239F">
        <w:rPr>
          <w:rFonts w:ascii="Calibri" w:eastAsia="Calibri" w:hAnsi="Calibri" w:cs="Calibri"/>
          <w:color w:val="000000"/>
        </w:rPr>
        <w:t>→</w:t>
      </w:r>
      <w:r w:rsidRPr="00E7239F">
        <w:rPr>
          <w:rFonts w:ascii="Times" w:hAnsi="Times" w:cs="Times"/>
          <w:color w:val="000000"/>
        </w:rPr>
        <w:t>F</w:t>
      </w:r>
      <w:r w:rsidRPr="00E7239F">
        <w:rPr>
          <w:rFonts w:ascii="Calibri" w:eastAsia="Calibri" w:hAnsi="Calibri" w:cs="Calibri"/>
          <w:color w:val="000000"/>
        </w:rPr>
        <w:t>→</w:t>
      </w:r>
      <w:r w:rsidRPr="00E7239F">
        <w:rPr>
          <w:rFonts w:ascii="Times" w:hAnsi="Times" w:cs="Times"/>
          <w:color w:val="000000"/>
        </w:rPr>
        <w:t>N</w:t>
      </w:r>
      <w:r w:rsidRPr="00E7239F">
        <w:rPr>
          <w:rFonts w:ascii="Calibri" w:eastAsia="Calibri" w:hAnsi="Calibri" w:cs="Calibri"/>
          <w:color w:val="000000"/>
        </w:rPr>
        <w:t>→</w:t>
      </w:r>
      <w:r w:rsidRPr="00E7239F">
        <w:rPr>
          <w:rFonts w:ascii="Times" w:hAnsi="Times" w:cs="Times"/>
          <w:color w:val="000000"/>
        </w:rPr>
        <w:t>M N</w:t>
      </w:r>
      <w:r w:rsidRPr="00E7239F">
        <w:rPr>
          <w:rFonts w:ascii="Calibri" w:eastAsia="Calibri" w:hAnsi="Calibri" w:cs="Calibri"/>
          <w:color w:val="000000"/>
        </w:rPr>
        <w:t>→</w:t>
      </w:r>
      <w:r w:rsidRPr="00E7239F">
        <w:rPr>
          <w:rFonts w:ascii="Times" w:hAnsi="Times" w:cs="Times"/>
          <w:color w:val="000000"/>
        </w:rPr>
        <w:t>F</w:t>
      </w:r>
      <w:r w:rsidRPr="00E7239F">
        <w:rPr>
          <w:rFonts w:ascii="Calibri" w:eastAsia="Calibri" w:hAnsi="Calibri" w:cs="Calibri"/>
          <w:color w:val="000000"/>
        </w:rPr>
        <w:t>→</w:t>
      </w:r>
      <w:r w:rsidRPr="00E7239F">
        <w:rPr>
          <w:rFonts w:ascii="Times" w:hAnsi="Times" w:cs="Times"/>
          <w:color w:val="000000"/>
        </w:rPr>
        <w:t>N</w:t>
      </w:r>
      <w:r w:rsidRPr="00E7239F">
        <w:rPr>
          <w:rFonts w:ascii="Calibri" w:eastAsia="Calibri" w:hAnsi="Calibri" w:cs="Calibri"/>
          <w:color w:val="000000"/>
        </w:rPr>
        <w:t>→</w:t>
      </w:r>
      <w:r w:rsidRPr="00E7239F">
        <w:rPr>
          <w:rFonts w:ascii="Times" w:hAnsi="Times" w:cs="Times"/>
          <w:color w:val="000000"/>
        </w:rPr>
        <w:t>F</w:t>
      </w:r>
      <w:r w:rsidRPr="00E7239F">
        <w:rPr>
          <w:rFonts w:ascii="Calibri" w:eastAsia="Calibri" w:hAnsi="Calibri" w:cs="Calibri"/>
          <w:color w:val="000000"/>
        </w:rPr>
        <w:t>→</w:t>
      </w:r>
      <w:r w:rsidRPr="00E7239F">
        <w:rPr>
          <w:rFonts w:ascii="Times" w:hAnsi="Times" w:cs="Times"/>
          <w:color w:val="000000"/>
        </w:rPr>
        <w:t xml:space="preserve">M </w:t>
      </w:r>
    </w:p>
    <w:p w14:paraId="3B444ACE" w14:textId="77777777" w:rsidR="00E7239F" w:rsidRPr="00E7239F" w:rsidRDefault="00E7239F" w:rsidP="009C6B50">
      <w:pPr>
        <w:widowControl w:val="0"/>
        <w:autoSpaceDE w:val="0"/>
        <w:autoSpaceDN w:val="0"/>
        <w:adjustRightInd w:val="0"/>
        <w:spacing w:after="240"/>
        <w:rPr>
          <w:rFonts w:ascii="Times" w:hAnsi="Times" w:cs="Times"/>
          <w:color w:val="000000"/>
        </w:rPr>
      </w:pPr>
      <w:r w:rsidRPr="00E7239F">
        <w:rPr>
          <w:rFonts w:ascii="Times" w:hAnsi="Times" w:cs="Times"/>
          <w:color w:val="000000"/>
        </w:rPr>
        <w:t xml:space="preserve">All other trajectories </w:t>
      </w:r>
    </w:p>
    <w:p w14:paraId="45F69C66" w14:textId="77777777" w:rsidR="00E7239F" w:rsidRPr="00E7239F" w:rsidRDefault="00E7239F" w:rsidP="009C6B50">
      <w:pPr>
        <w:widowControl w:val="0"/>
        <w:autoSpaceDE w:val="0"/>
        <w:autoSpaceDN w:val="0"/>
        <w:adjustRightInd w:val="0"/>
        <w:spacing w:after="240"/>
        <w:rPr>
          <w:rFonts w:ascii="Times" w:hAnsi="Times" w:cs="Times"/>
          <w:color w:val="000000"/>
        </w:rPr>
      </w:pPr>
      <w:r w:rsidRPr="00E7239F">
        <w:rPr>
          <w:rFonts w:ascii="Times" w:hAnsi="Times" w:cs="Times"/>
          <w:color w:val="000000"/>
        </w:rPr>
        <w:t xml:space="preserve">Exposure prevalence (%) </w:t>
      </w:r>
    </w:p>
    <w:p w14:paraId="20DACD8C" w14:textId="77777777" w:rsidR="00E7239F" w:rsidRPr="00E7239F" w:rsidRDefault="00E7239F" w:rsidP="009C6B50">
      <w:pPr>
        <w:widowControl w:val="0"/>
        <w:autoSpaceDE w:val="0"/>
        <w:autoSpaceDN w:val="0"/>
        <w:adjustRightInd w:val="0"/>
        <w:spacing w:after="240"/>
        <w:rPr>
          <w:rFonts w:ascii="Times" w:hAnsi="Times" w:cs="Times"/>
          <w:color w:val="000000"/>
        </w:rPr>
      </w:pPr>
      <w:r w:rsidRPr="00E7239F">
        <w:rPr>
          <w:rFonts w:ascii="Times" w:hAnsi="Times" w:cs="Times"/>
          <w:color w:val="000000"/>
        </w:rPr>
        <w:t xml:space="preserve">65.5 16.3 2.5 2.2 2.0 1.9 1.6 1.1 0.91 0.55 0.40 0.39 0.33 0.29 0.28 0.21 0.21 0.21 0.17 0.16 0.15 0.14 0.14 0.12 </w:t>
      </w:r>
    </w:p>
    <w:p w14:paraId="050C3B32" w14:textId="77777777" w:rsidR="00E7239F" w:rsidRPr="00E7239F" w:rsidRDefault="00E7239F" w:rsidP="009C6B50">
      <w:pPr>
        <w:widowControl w:val="0"/>
        <w:autoSpaceDE w:val="0"/>
        <w:autoSpaceDN w:val="0"/>
        <w:adjustRightInd w:val="0"/>
        <w:spacing w:after="240"/>
        <w:rPr>
          <w:rFonts w:ascii="Times" w:hAnsi="Times" w:cs="Times"/>
          <w:color w:val="000000"/>
        </w:rPr>
      </w:pPr>
      <w:r w:rsidRPr="00E7239F">
        <w:rPr>
          <w:rFonts w:ascii="Times" w:hAnsi="Times" w:cs="Times"/>
          <w:color w:val="000000"/>
        </w:rPr>
        <w:t xml:space="preserve">2.3 </w:t>
      </w:r>
    </w:p>
    <w:p w14:paraId="41479DA5" w14:textId="77777777" w:rsidR="00E7239F" w:rsidRPr="00E7239F" w:rsidRDefault="00E7239F" w:rsidP="009C6B50">
      <w:pPr>
        <w:widowControl w:val="0"/>
        <w:autoSpaceDE w:val="0"/>
        <w:autoSpaceDN w:val="0"/>
        <w:adjustRightInd w:val="0"/>
        <w:spacing w:after="240"/>
        <w:rPr>
          <w:rFonts w:ascii="Times" w:hAnsi="Times" w:cs="Times"/>
          <w:color w:val="000000"/>
        </w:rPr>
      </w:pPr>
      <w:r w:rsidRPr="00E7239F">
        <w:rPr>
          <w:rFonts w:ascii="Times" w:hAnsi="Times" w:cs="Times"/>
          <w:color w:val="000000"/>
        </w:rPr>
        <w:t xml:space="preserve">n persons (self-harm) 13,350 </w:t>
      </w:r>
    </w:p>
    <w:p w14:paraId="73778A6C" w14:textId="77777777" w:rsidR="00E7239F" w:rsidRPr="00E7239F" w:rsidRDefault="00E7239F" w:rsidP="009C6B50">
      <w:pPr>
        <w:widowControl w:val="0"/>
        <w:autoSpaceDE w:val="0"/>
        <w:autoSpaceDN w:val="0"/>
        <w:adjustRightInd w:val="0"/>
        <w:spacing w:after="240"/>
        <w:rPr>
          <w:rFonts w:ascii="Times" w:hAnsi="Times" w:cs="Times"/>
          <w:color w:val="000000"/>
        </w:rPr>
      </w:pPr>
      <w:r w:rsidRPr="00E7239F">
        <w:rPr>
          <w:rFonts w:ascii="Times" w:hAnsi="Times" w:cs="Times"/>
          <w:color w:val="000000"/>
        </w:rPr>
        <w:t xml:space="preserve">6518 968 809 1222 701 880 643 531 244 522 309 107 208 170 70 278 108 131 192 105 96 82 87 </w:t>
      </w:r>
    </w:p>
    <w:p w14:paraId="4C063603" w14:textId="77777777" w:rsidR="00E7239F" w:rsidRPr="00E7239F" w:rsidRDefault="00E7239F" w:rsidP="009C6B50">
      <w:pPr>
        <w:widowControl w:val="0"/>
        <w:autoSpaceDE w:val="0"/>
        <w:autoSpaceDN w:val="0"/>
        <w:adjustRightInd w:val="0"/>
        <w:spacing w:after="240"/>
        <w:rPr>
          <w:rFonts w:ascii="Times" w:hAnsi="Times" w:cs="Times"/>
          <w:color w:val="000000"/>
        </w:rPr>
      </w:pPr>
      <w:r w:rsidRPr="00E7239F">
        <w:rPr>
          <w:rFonts w:ascii="Times" w:hAnsi="Times" w:cs="Times"/>
          <w:color w:val="000000"/>
        </w:rPr>
        <w:t xml:space="preserve">2153 </w:t>
      </w:r>
    </w:p>
    <w:p w14:paraId="2552F6C5" w14:textId="77777777" w:rsidR="00E7239F" w:rsidRPr="00E7239F" w:rsidRDefault="00E7239F" w:rsidP="009C6B50">
      <w:pPr>
        <w:widowControl w:val="0"/>
        <w:autoSpaceDE w:val="0"/>
        <w:autoSpaceDN w:val="0"/>
        <w:adjustRightInd w:val="0"/>
        <w:spacing w:after="240"/>
        <w:rPr>
          <w:rFonts w:ascii="Times" w:hAnsi="Times" w:cs="Times"/>
          <w:color w:val="000000"/>
        </w:rPr>
      </w:pPr>
      <w:r w:rsidRPr="00E7239F">
        <w:rPr>
          <w:rFonts w:ascii="Times" w:hAnsi="Times" w:cs="Times"/>
          <w:color w:val="000000"/>
        </w:rPr>
        <w:t xml:space="preserve">Incidence </w:t>
      </w:r>
      <w:proofErr w:type="spellStart"/>
      <w:r w:rsidRPr="00E7239F">
        <w:rPr>
          <w:rFonts w:ascii="Times" w:hAnsi="Times" w:cs="Times"/>
          <w:color w:val="000000"/>
        </w:rPr>
        <w:t>rateb</w:t>
      </w:r>
      <w:proofErr w:type="spellEnd"/>
      <w:r w:rsidRPr="00E7239F">
        <w:rPr>
          <w:rFonts w:ascii="Times" w:hAnsi="Times" w:cs="Times"/>
          <w:color w:val="000000"/>
        </w:rPr>
        <w:t xml:space="preserve"> 12.1 </w:t>
      </w:r>
    </w:p>
    <w:p w14:paraId="7AD1A9B2" w14:textId="77777777" w:rsidR="00E7239F" w:rsidRPr="00E7239F" w:rsidRDefault="00E7239F" w:rsidP="009C6B50">
      <w:pPr>
        <w:widowControl w:val="0"/>
        <w:autoSpaceDE w:val="0"/>
        <w:autoSpaceDN w:val="0"/>
        <w:adjustRightInd w:val="0"/>
        <w:spacing w:after="240"/>
        <w:rPr>
          <w:rFonts w:ascii="Times" w:hAnsi="Times" w:cs="Times"/>
          <w:color w:val="000000"/>
        </w:rPr>
      </w:pPr>
      <w:r w:rsidRPr="00E7239F">
        <w:rPr>
          <w:rFonts w:ascii="Times" w:hAnsi="Times" w:cs="Times"/>
          <w:color w:val="000000"/>
        </w:rPr>
        <w:t xml:space="preserve">27.1 25.6 23.1 39.2 19.2 35.4 44.4 36.8 32.0 86.5 43.3 19.7 58.1 39.9 12.0 92.6 30.6 49.6 69.3 34.7 41.7 38.2 53.3 </w:t>
      </w:r>
    </w:p>
    <w:p w14:paraId="58681277" w14:textId="77777777" w:rsidR="00E7239F" w:rsidRPr="00E7239F" w:rsidRDefault="00E7239F" w:rsidP="009C6B50">
      <w:pPr>
        <w:widowControl w:val="0"/>
        <w:autoSpaceDE w:val="0"/>
        <w:autoSpaceDN w:val="0"/>
        <w:adjustRightInd w:val="0"/>
        <w:spacing w:after="240"/>
        <w:rPr>
          <w:rFonts w:ascii="Times" w:hAnsi="Times" w:cs="Times"/>
          <w:color w:val="000000"/>
        </w:rPr>
      </w:pPr>
      <w:r w:rsidRPr="00E7239F">
        <w:rPr>
          <w:rFonts w:ascii="Times" w:hAnsi="Times" w:cs="Times"/>
          <w:color w:val="000000"/>
        </w:rPr>
        <w:t xml:space="preserve">58.4 </w:t>
      </w:r>
    </w:p>
    <w:p w14:paraId="2B99425D" w14:textId="77777777" w:rsidR="00E7239F" w:rsidRPr="00E7239F" w:rsidRDefault="00E7239F" w:rsidP="009C6B50">
      <w:pPr>
        <w:widowControl w:val="0"/>
        <w:autoSpaceDE w:val="0"/>
        <w:autoSpaceDN w:val="0"/>
        <w:adjustRightInd w:val="0"/>
        <w:spacing w:after="240"/>
        <w:rPr>
          <w:rFonts w:ascii="Times" w:hAnsi="Times" w:cs="Times"/>
          <w:color w:val="000000"/>
        </w:rPr>
      </w:pPr>
      <w:proofErr w:type="spellStart"/>
      <w:r w:rsidRPr="00E7239F">
        <w:rPr>
          <w:rFonts w:ascii="Times" w:hAnsi="Times" w:cs="Times"/>
          <w:color w:val="000000"/>
        </w:rPr>
        <w:t>IRRc</w:t>
      </w:r>
      <w:proofErr w:type="spellEnd"/>
      <w:r w:rsidRPr="00E7239F">
        <w:rPr>
          <w:rFonts w:ascii="Times" w:hAnsi="Times" w:cs="Times"/>
          <w:color w:val="000000"/>
        </w:rPr>
        <w:t xml:space="preserve"> 1.00 (ref.) </w:t>
      </w:r>
    </w:p>
    <w:p w14:paraId="3193A92D" w14:textId="77777777" w:rsidR="00E7239F" w:rsidRPr="00E7239F" w:rsidRDefault="00E7239F" w:rsidP="009C6B50">
      <w:pPr>
        <w:widowControl w:val="0"/>
        <w:autoSpaceDE w:val="0"/>
        <w:autoSpaceDN w:val="0"/>
        <w:adjustRightInd w:val="0"/>
        <w:spacing w:after="240"/>
        <w:rPr>
          <w:rFonts w:ascii="Times" w:hAnsi="Times" w:cs="Times"/>
          <w:color w:val="000000"/>
        </w:rPr>
      </w:pPr>
      <w:r w:rsidRPr="00E7239F">
        <w:rPr>
          <w:rFonts w:ascii="Times" w:hAnsi="Times" w:cs="Times"/>
          <w:color w:val="000000"/>
        </w:rPr>
        <w:t xml:space="preserve">2.07 1.97 1.94 3.10 1.72 2.72 3.28 3.01 2.41 6.92 4.03 1.62 4.02 3.01 1.48 7.25 2.49 3.77 6.04 3.34 3.35 3.05 3.91 </w:t>
      </w:r>
    </w:p>
    <w:p w14:paraId="08CDF074" w14:textId="77777777" w:rsidR="00E7239F" w:rsidRPr="00E7239F" w:rsidRDefault="00E7239F" w:rsidP="009C6B50">
      <w:pPr>
        <w:widowControl w:val="0"/>
        <w:autoSpaceDE w:val="0"/>
        <w:autoSpaceDN w:val="0"/>
        <w:adjustRightInd w:val="0"/>
        <w:spacing w:after="240"/>
        <w:rPr>
          <w:rFonts w:ascii="Times" w:hAnsi="Times" w:cs="Times"/>
          <w:color w:val="000000"/>
        </w:rPr>
      </w:pPr>
      <w:r w:rsidRPr="00E7239F">
        <w:rPr>
          <w:rFonts w:ascii="Times" w:hAnsi="Times" w:cs="Times"/>
          <w:color w:val="000000"/>
        </w:rPr>
        <w:t xml:space="preserve">4.86 </w:t>
      </w:r>
    </w:p>
    <w:p w14:paraId="5F8E4218" w14:textId="77777777" w:rsidR="00E7239F" w:rsidRPr="00E7239F" w:rsidRDefault="00E7239F" w:rsidP="009C6B50">
      <w:pPr>
        <w:widowControl w:val="0"/>
        <w:autoSpaceDE w:val="0"/>
        <w:autoSpaceDN w:val="0"/>
        <w:adjustRightInd w:val="0"/>
        <w:spacing w:after="240"/>
        <w:rPr>
          <w:rFonts w:ascii="Times" w:hAnsi="Times" w:cs="Times"/>
          <w:color w:val="000000"/>
        </w:rPr>
      </w:pPr>
      <w:r w:rsidRPr="00E7239F">
        <w:rPr>
          <w:rFonts w:ascii="Times" w:hAnsi="Times" w:cs="Times"/>
          <w:color w:val="000000"/>
        </w:rPr>
        <w:t xml:space="preserve">(95% CI) </w:t>
      </w:r>
    </w:p>
    <w:p w14:paraId="6F8A7625" w14:textId="77777777" w:rsidR="00E7239F" w:rsidRPr="00E7239F" w:rsidRDefault="00E7239F" w:rsidP="009C6B50">
      <w:pPr>
        <w:widowControl w:val="0"/>
        <w:autoSpaceDE w:val="0"/>
        <w:autoSpaceDN w:val="0"/>
        <w:adjustRightInd w:val="0"/>
        <w:spacing w:after="240"/>
        <w:rPr>
          <w:rFonts w:ascii="Times" w:hAnsi="Times" w:cs="Times"/>
          <w:color w:val="000000"/>
        </w:rPr>
      </w:pPr>
      <w:r w:rsidRPr="00E7239F">
        <w:rPr>
          <w:rFonts w:ascii="Times" w:hAnsi="Times" w:cs="Times"/>
          <w:color w:val="000000"/>
        </w:rPr>
        <w:t xml:space="preserve">– </w:t>
      </w:r>
    </w:p>
    <w:p w14:paraId="2DE36B12" w14:textId="77777777" w:rsidR="00E7239F" w:rsidRPr="00E7239F" w:rsidRDefault="00E7239F" w:rsidP="009C6B50">
      <w:pPr>
        <w:widowControl w:val="0"/>
        <w:autoSpaceDE w:val="0"/>
        <w:autoSpaceDN w:val="0"/>
        <w:adjustRightInd w:val="0"/>
        <w:spacing w:after="240"/>
        <w:rPr>
          <w:rFonts w:ascii="Times" w:hAnsi="Times" w:cs="Times"/>
          <w:color w:val="000000"/>
        </w:rPr>
      </w:pPr>
      <w:r w:rsidRPr="00E7239F">
        <w:rPr>
          <w:rFonts w:ascii="Times" w:hAnsi="Times" w:cs="Times"/>
          <w:color w:val="000000"/>
        </w:rPr>
        <w:t xml:space="preserve">(2.01–2.14) (1.84–2.10) (1.81–2.08) (2.93–3.29) (1.59–1.85) (2.53–2.91) (3.03–3.55) (2.75–3.27) (2.12–2.73) (6.33–7.54) (3.59–4.50) (1.33–1.94) (3.49–4.60) (2.58–3.49) (1.16–1.86) (6.42–8.14) (2.05–2.99) (3.15–4.45) (5.22–6.94) (2.74–4.03) (2.72–4.07) (2.44–3.77) (3.14–4.79) </w:t>
      </w:r>
    </w:p>
    <w:p w14:paraId="088F4E4F" w14:textId="77777777" w:rsidR="00E7239F" w:rsidRPr="00E7239F" w:rsidRDefault="00E7239F" w:rsidP="009C6B50">
      <w:pPr>
        <w:widowControl w:val="0"/>
        <w:autoSpaceDE w:val="0"/>
        <w:autoSpaceDN w:val="0"/>
        <w:adjustRightInd w:val="0"/>
        <w:spacing w:after="240"/>
        <w:rPr>
          <w:rFonts w:ascii="Times" w:hAnsi="Times" w:cs="Times"/>
          <w:color w:val="000000"/>
        </w:rPr>
      </w:pPr>
      <w:r w:rsidRPr="00E7239F">
        <w:rPr>
          <w:rFonts w:ascii="Times" w:hAnsi="Times" w:cs="Times"/>
          <w:color w:val="000000"/>
        </w:rPr>
        <w:t xml:space="preserve">(4.64–5.09) </w:t>
      </w:r>
    </w:p>
    <w:p w14:paraId="7CBBEC16" w14:textId="6B78B38F" w:rsidR="00E7239F" w:rsidRPr="00E7239F" w:rsidRDefault="00E7239F" w:rsidP="009C6B50">
      <w:pPr>
        <w:widowControl w:val="0"/>
        <w:autoSpaceDE w:val="0"/>
        <w:autoSpaceDN w:val="0"/>
        <w:adjustRightInd w:val="0"/>
        <w:spacing w:after="240"/>
        <w:rPr>
          <w:rFonts w:ascii="Times" w:hAnsi="Times" w:cs="Times"/>
          <w:color w:val="000000"/>
        </w:rPr>
      </w:pPr>
      <w:r w:rsidRPr="00E7239F">
        <w:rPr>
          <w:rFonts w:ascii="Times" w:hAnsi="Times" w:cs="Times"/>
          <w:color w:val="000000"/>
        </w:rPr>
        <w:drawing>
          <wp:inline distT="0" distB="0" distL="0" distR="0" wp14:anchorId="47F7A8D8" wp14:editId="7F2FE532">
            <wp:extent cx="4669790" cy="1079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69790" cy="10795"/>
                    </a:xfrm>
                    <a:prstGeom prst="rect">
                      <a:avLst/>
                    </a:prstGeom>
                    <a:noFill/>
                    <a:ln>
                      <a:noFill/>
                    </a:ln>
                  </pic:spPr>
                </pic:pic>
              </a:graphicData>
            </a:graphic>
          </wp:inline>
        </w:drawing>
      </w:r>
      <w:r w:rsidRPr="00E7239F">
        <w:rPr>
          <w:rFonts w:ascii="Times" w:hAnsi="Times" w:cs="Times"/>
          <w:color w:val="000000"/>
        </w:rPr>
        <w:t xml:space="preserve"> </w:t>
      </w:r>
      <w:r w:rsidRPr="00E7239F">
        <w:rPr>
          <w:rFonts w:ascii="Times" w:hAnsi="Times" w:cs="Times"/>
          <w:color w:val="000000"/>
        </w:rPr>
        <w:drawing>
          <wp:inline distT="0" distB="0" distL="0" distR="0" wp14:anchorId="03154DCD" wp14:editId="3CBED261">
            <wp:extent cx="4669790" cy="1079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69790" cy="10795"/>
                    </a:xfrm>
                    <a:prstGeom prst="rect">
                      <a:avLst/>
                    </a:prstGeom>
                    <a:noFill/>
                    <a:ln>
                      <a:noFill/>
                    </a:ln>
                  </pic:spPr>
                </pic:pic>
              </a:graphicData>
            </a:graphic>
          </wp:inline>
        </w:drawing>
      </w:r>
    </w:p>
    <w:p w14:paraId="505CFB75" w14:textId="77777777" w:rsidR="00E7239F" w:rsidRPr="00E7239F" w:rsidRDefault="00E7239F" w:rsidP="009C6B50">
      <w:pPr>
        <w:widowControl w:val="0"/>
        <w:autoSpaceDE w:val="0"/>
        <w:autoSpaceDN w:val="0"/>
        <w:adjustRightInd w:val="0"/>
        <w:spacing w:after="240"/>
        <w:rPr>
          <w:rFonts w:ascii="Times" w:hAnsi="Times" w:cs="Times"/>
          <w:color w:val="000000"/>
        </w:rPr>
      </w:pPr>
      <w:r w:rsidRPr="00E7239F">
        <w:rPr>
          <w:rFonts w:ascii="Times" w:hAnsi="Times" w:cs="Times"/>
          <w:color w:val="000000"/>
        </w:rPr>
        <w:t xml:space="preserve">a N = Separated from neither parent; F = separated from father; M = separated from mother; FM = separated from both parents. b Incidence rate per 10,000 person-years at risk. c IRR - Incidence rate ratio. </w:t>
      </w:r>
    </w:p>
    <w:p w14:paraId="1A278DE6" w14:textId="77777777" w:rsidR="00E7239F" w:rsidRPr="00E7239F" w:rsidRDefault="00E7239F" w:rsidP="009C6B50">
      <w:pPr>
        <w:widowControl w:val="0"/>
        <w:autoSpaceDE w:val="0"/>
        <w:autoSpaceDN w:val="0"/>
        <w:adjustRightInd w:val="0"/>
        <w:spacing w:after="240"/>
        <w:rPr>
          <w:rFonts w:ascii="Times" w:hAnsi="Times" w:cs="Times"/>
          <w:color w:val="000000"/>
        </w:rPr>
      </w:pPr>
      <w:r w:rsidRPr="00E7239F">
        <w:rPr>
          <w:rFonts w:ascii="Times" w:hAnsi="Times" w:cs="Times"/>
          <w:color w:val="000000"/>
        </w:rPr>
        <w:t xml:space="preserve">586 </w:t>
      </w:r>
    </w:p>
    <w:p w14:paraId="7A7B7496" w14:textId="77777777" w:rsidR="00E7239F" w:rsidRPr="00E7239F" w:rsidRDefault="00E7239F" w:rsidP="009C6B50">
      <w:pPr>
        <w:widowControl w:val="0"/>
        <w:autoSpaceDE w:val="0"/>
        <w:autoSpaceDN w:val="0"/>
        <w:adjustRightInd w:val="0"/>
        <w:spacing w:after="240"/>
        <w:rPr>
          <w:rFonts w:ascii="Times" w:hAnsi="Times" w:cs="Times"/>
          <w:color w:val="000000"/>
        </w:rPr>
      </w:pPr>
      <w:r w:rsidRPr="00E7239F">
        <w:rPr>
          <w:rFonts w:ascii="Times" w:hAnsi="Times" w:cs="Times"/>
          <w:color w:val="000000"/>
        </w:rPr>
        <w:t xml:space="preserve">A. </w:t>
      </w:r>
      <w:proofErr w:type="spellStart"/>
      <w:r w:rsidRPr="00E7239F">
        <w:rPr>
          <w:rFonts w:ascii="Times" w:hAnsi="Times" w:cs="Times"/>
          <w:color w:val="000000"/>
        </w:rPr>
        <w:t>Astrup</w:t>
      </w:r>
      <w:proofErr w:type="spellEnd"/>
      <w:r w:rsidRPr="00E7239F">
        <w:rPr>
          <w:rFonts w:ascii="Times" w:hAnsi="Times" w:cs="Times"/>
          <w:color w:val="000000"/>
        </w:rPr>
        <w:t xml:space="preserve"> et al. </w:t>
      </w:r>
    </w:p>
    <w:p w14:paraId="6D349BFF" w14:textId="77777777" w:rsidR="00E7239F" w:rsidRPr="00E7239F" w:rsidRDefault="00E7239F" w:rsidP="009C6B50">
      <w:pPr>
        <w:widowControl w:val="0"/>
        <w:autoSpaceDE w:val="0"/>
        <w:autoSpaceDN w:val="0"/>
        <w:adjustRightInd w:val="0"/>
        <w:spacing w:after="240"/>
        <w:rPr>
          <w:rFonts w:ascii="Times" w:hAnsi="Times" w:cs="Times"/>
          <w:color w:val="000000"/>
        </w:rPr>
      </w:pPr>
      <w:r w:rsidRPr="00E7239F">
        <w:rPr>
          <w:rFonts w:ascii="Times" w:hAnsi="Times" w:cs="Times"/>
          <w:i/>
          <w:iCs/>
          <w:color w:val="000000"/>
        </w:rPr>
        <w:t xml:space="preserve">Journal of Affective Disorders 208 (2017) 582–589 </w:t>
      </w:r>
    </w:p>
    <w:p w14:paraId="16516912" w14:textId="77777777" w:rsidR="00E7239F" w:rsidRPr="00E7239F" w:rsidRDefault="00E7239F" w:rsidP="009C6B50">
      <w:pPr>
        <w:widowControl w:val="0"/>
        <w:autoSpaceDE w:val="0"/>
        <w:autoSpaceDN w:val="0"/>
        <w:adjustRightInd w:val="0"/>
        <w:spacing w:after="240"/>
        <w:rPr>
          <w:rFonts w:ascii="Times" w:hAnsi="Times" w:cs="Times"/>
          <w:color w:val="000000"/>
        </w:rPr>
      </w:pPr>
      <w:r w:rsidRPr="00E7239F">
        <w:rPr>
          <w:rFonts w:ascii="Times" w:hAnsi="Times" w:cs="Times"/>
          <w:color w:val="000000"/>
        </w:rPr>
        <w:t xml:space="preserve">Table 3 </w:t>
      </w:r>
    </w:p>
    <w:p w14:paraId="4C388C83"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proofErr w:type="spellStart"/>
      <w:r w:rsidRPr="00E7239F">
        <w:rPr>
          <w:rFonts w:ascii="Times" w:hAnsi="Times" w:cs="Times"/>
          <w:color w:val="000000"/>
        </w:rPr>
        <w:t>Akaike</w:t>
      </w:r>
      <w:proofErr w:type="spellEnd"/>
      <w:r w:rsidRPr="00E7239F">
        <w:rPr>
          <w:rFonts w:ascii="Times" w:hAnsi="Times" w:cs="Times"/>
          <w:color w:val="000000"/>
        </w:rPr>
        <w:t xml:space="preserve"> Information Criterion (AIC) values indicating goodness-of-fit for each exposure model examined. </w:t>
      </w:r>
    </w:p>
    <w:p w14:paraId="3073678A"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divorce and child-parent separation should be interpreted with caution, and causal relationships cannot be assumed and should not be inferred. It is possible, however, that the separation events in themselves </w:t>
      </w:r>
      <w:proofErr w:type="spellStart"/>
      <w:r w:rsidRPr="00E7239F">
        <w:rPr>
          <w:rFonts w:ascii="Times" w:hAnsi="Times" w:cs="Times"/>
          <w:color w:val="000000"/>
        </w:rPr>
        <w:t>traumatise</w:t>
      </w:r>
      <w:proofErr w:type="spellEnd"/>
      <w:r w:rsidRPr="00E7239F">
        <w:rPr>
          <w:rFonts w:ascii="Times" w:hAnsi="Times" w:cs="Times"/>
          <w:color w:val="000000"/>
        </w:rPr>
        <w:t xml:space="preserve"> children and adolescents who experience them. Acute shock and disruption, along with an ongoing sense of loss of family togetherness, could lead directly to later psychological distress, mental illness and self-harming </w:t>
      </w:r>
      <w:proofErr w:type="spellStart"/>
      <w:r w:rsidRPr="00E7239F">
        <w:rPr>
          <w:rFonts w:ascii="Times" w:hAnsi="Times" w:cs="Times"/>
          <w:color w:val="000000"/>
        </w:rPr>
        <w:t>behaviour</w:t>
      </w:r>
      <w:proofErr w:type="spellEnd"/>
      <w:r w:rsidRPr="00E7239F">
        <w:rPr>
          <w:rFonts w:ascii="Times" w:hAnsi="Times" w:cs="Times"/>
          <w:color w:val="000000"/>
        </w:rPr>
        <w:t>. On the other hand, the observed associations may be explained by familial genetic or environmental determinants that predispose parents to dysfunctional and ultimately failed relationships and also their offspring to psychopathology in later life (</w:t>
      </w:r>
      <w:proofErr w:type="spellStart"/>
      <w:r w:rsidRPr="00E7239F">
        <w:rPr>
          <w:rFonts w:ascii="Times" w:hAnsi="Times" w:cs="Times"/>
          <w:color w:val="000000"/>
        </w:rPr>
        <w:t>Cherlin</w:t>
      </w:r>
      <w:proofErr w:type="spellEnd"/>
      <w:r w:rsidRPr="00E7239F">
        <w:rPr>
          <w:rFonts w:ascii="Times" w:hAnsi="Times" w:cs="Times"/>
          <w:color w:val="000000"/>
        </w:rPr>
        <w:t xml:space="preserve"> et al., 1998; </w:t>
      </w:r>
      <w:proofErr w:type="spellStart"/>
      <w:r w:rsidRPr="00E7239F">
        <w:rPr>
          <w:rFonts w:ascii="Times" w:hAnsi="Times" w:cs="Times"/>
          <w:color w:val="000000"/>
        </w:rPr>
        <w:t>Huurre</w:t>
      </w:r>
      <w:proofErr w:type="spellEnd"/>
      <w:r w:rsidRPr="00E7239F">
        <w:rPr>
          <w:rFonts w:ascii="Times" w:hAnsi="Times" w:cs="Times"/>
          <w:color w:val="000000"/>
        </w:rPr>
        <w:t xml:space="preserve"> et al., 2006). In some particularly troubled families, where children are exposed to parental substance misuse, domestic violence or inter-parental conflict, parental divorce or separation may actually be beneficial to them (Hetherington and Stanley-Hagan, 1999; Alonzo et al., 2014). </w:t>
      </w:r>
    </w:p>
    <w:p w14:paraId="5657ECD4"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In Fig. 1 we observed a gradient of increasing risk with rising age beyond age 11 with separation from both parents, although no such gradient was observed in relation to separation from either father or mother. The risk gradient linked with separation from both parents during early adolescence may merely reflect closeness in time between exposure and outcome. However, whilst remaining cautious about making causal inferences from our observations, a speculative potential alternative explanation is that separation from both parents during early adolescence is a particularly harmful to the wellbeing of these young people, at a crucial time in their development as they move toward making the transition from childhood to adulthood. Another possible interpretation is that separation from both parents at this age is likely to entail residential relocation, which we have previously reported as being strongly linked with elevated risk for these two adverse outcomes (Webb et al., 2016). </w:t>
      </w:r>
    </w:p>
    <w:p w14:paraId="062556BD"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Our study found no evidence of elevated risk among those individuals who were registered as having a different residential address to both of their legal parents at birth. This may indicate that Danish social services agencies are effectively looking after those infants who are transferred into their care from the very start of their lives. </w:t>
      </w:r>
    </w:p>
    <w:p w14:paraId="617D3C57"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4.4. Strengths and limitations </w:t>
      </w:r>
    </w:p>
    <w:p w14:paraId="1C80D1D7"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This cohort study was conducted in the entire Danish population using prospectively collected registry data that were unbiased owing to knowledge of subsequent self-harm episodes. Danish healthcare is provided to all citizens free of charge at the point of access, which precluded ascertainment bias in identifying hospital-presenting self- harm episodes. The Civil Registration System provided a unique national resource for measuring changes in residential address and thereby child-parent separation transitions in the whole population for each age-year from birth up to 15th birthday. We had abundant statistical power and precision to assess all of the exposure-outcome relationships examined. Our measurement of child-parent separation was based entirely on residential address information. Thus, it was free of recall or social desirability biases in the course of later self-reporting of childhood adversity (</w:t>
      </w:r>
      <w:proofErr w:type="spellStart"/>
      <w:r w:rsidRPr="00E7239F">
        <w:rPr>
          <w:rFonts w:ascii="Times" w:hAnsi="Times" w:cs="Times"/>
          <w:color w:val="000000"/>
        </w:rPr>
        <w:t>Susser</w:t>
      </w:r>
      <w:proofErr w:type="spellEnd"/>
      <w:r w:rsidRPr="00E7239F">
        <w:rPr>
          <w:rFonts w:ascii="Times" w:hAnsi="Times" w:cs="Times"/>
          <w:color w:val="000000"/>
        </w:rPr>
        <w:t xml:space="preserve"> and </w:t>
      </w:r>
      <w:proofErr w:type="spellStart"/>
      <w:r w:rsidRPr="00E7239F">
        <w:rPr>
          <w:rFonts w:ascii="Times" w:hAnsi="Times" w:cs="Times"/>
          <w:color w:val="000000"/>
        </w:rPr>
        <w:t>Widom</w:t>
      </w:r>
      <w:proofErr w:type="spellEnd"/>
      <w:r w:rsidRPr="00E7239F">
        <w:rPr>
          <w:rFonts w:ascii="Times" w:hAnsi="Times" w:cs="Times"/>
          <w:color w:val="000000"/>
        </w:rPr>
        <w:t>, 2012), which is a widely acknowledged major limitation of most published studies on this topic (</w:t>
      </w:r>
      <w:proofErr w:type="spellStart"/>
      <w:r w:rsidRPr="00E7239F">
        <w:rPr>
          <w:rFonts w:ascii="Times" w:hAnsi="Times" w:cs="Times"/>
          <w:color w:val="000000"/>
        </w:rPr>
        <w:t>Aro</w:t>
      </w:r>
      <w:proofErr w:type="spellEnd"/>
      <w:r w:rsidRPr="00E7239F">
        <w:rPr>
          <w:rFonts w:ascii="Times" w:hAnsi="Times" w:cs="Times"/>
          <w:color w:val="000000"/>
        </w:rPr>
        <w:t xml:space="preserve">, 1988; </w:t>
      </w:r>
      <w:proofErr w:type="spellStart"/>
      <w:r w:rsidRPr="00E7239F">
        <w:rPr>
          <w:rFonts w:ascii="Times" w:hAnsi="Times" w:cs="Times"/>
          <w:color w:val="000000"/>
        </w:rPr>
        <w:t>Afifi</w:t>
      </w:r>
      <w:proofErr w:type="spellEnd"/>
      <w:r w:rsidRPr="00E7239F">
        <w:rPr>
          <w:rFonts w:ascii="Times" w:hAnsi="Times" w:cs="Times"/>
          <w:color w:val="000000"/>
        </w:rPr>
        <w:t xml:space="preserve"> et al., 2009; </w:t>
      </w:r>
      <w:proofErr w:type="spellStart"/>
      <w:r w:rsidRPr="00E7239F">
        <w:rPr>
          <w:rFonts w:ascii="Times" w:hAnsi="Times" w:cs="Times"/>
          <w:color w:val="000000"/>
        </w:rPr>
        <w:t>Lizardi</w:t>
      </w:r>
      <w:proofErr w:type="spellEnd"/>
      <w:r w:rsidRPr="00E7239F">
        <w:rPr>
          <w:rFonts w:ascii="Times" w:hAnsi="Times" w:cs="Times"/>
          <w:color w:val="000000"/>
        </w:rPr>
        <w:t xml:space="preserve"> et al., 2009; Fuller-Thomson et al. 2011; Alonzo et al., 2014; </w:t>
      </w:r>
      <w:proofErr w:type="spellStart"/>
      <w:r w:rsidRPr="00E7239F">
        <w:rPr>
          <w:rFonts w:ascii="Times" w:hAnsi="Times" w:cs="Times"/>
          <w:color w:val="000000"/>
        </w:rPr>
        <w:t>Lindström</w:t>
      </w:r>
      <w:proofErr w:type="spellEnd"/>
      <w:r w:rsidRPr="00E7239F">
        <w:rPr>
          <w:rFonts w:ascii="Times" w:hAnsi="Times" w:cs="Times"/>
          <w:color w:val="000000"/>
        </w:rPr>
        <w:t xml:space="preserve"> and </w:t>
      </w:r>
      <w:proofErr w:type="spellStart"/>
      <w:r w:rsidRPr="00E7239F">
        <w:rPr>
          <w:rFonts w:ascii="Times" w:hAnsi="Times" w:cs="Times"/>
          <w:color w:val="000000"/>
        </w:rPr>
        <w:t>Rosvall</w:t>
      </w:r>
      <w:proofErr w:type="spellEnd"/>
      <w:r w:rsidRPr="00E7239F">
        <w:rPr>
          <w:rFonts w:ascii="Times" w:hAnsi="Times" w:cs="Times"/>
          <w:color w:val="000000"/>
        </w:rPr>
        <w:t xml:space="preserve">, 2015). Those studies that relied on subject self-reporting were also mostly cross-sectional in design, which limited the degree to which </w:t>
      </w:r>
      <w:proofErr w:type="spellStart"/>
      <w:r w:rsidRPr="00E7239F">
        <w:rPr>
          <w:rFonts w:ascii="Times" w:hAnsi="Times" w:cs="Times"/>
          <w:color w:val="000000"/>
        </w:rPr>
        <w:t>aetiological</w:t>
      </w:r>
      <w:proofErr w:type="spellEnd"/>
      <w:r w:rsidRPr="00E7239F">
        <w:rPr>
          <w:rFonts w:ascii="Times" w:hAnsi="Times" w:cs="Times"/>
          <w:color w:val="000000"/>
        </w:rPr>
        <w:t xml:space="preserve"> inferences could be drawn. Our investigation thus belongs to a small set of more robust cohort studies with long-term follow-up (Allison and </w:t>
      </w:r>
      <w:proofErr w:type="spellStart"/>
      <w:r w:rsidRPr="00E7239F">
        <w:rPr>
          <w:rFonts w:ascii="Times" w:hAnsi="Times" w:cs="Times"/>
          <w:color w:val="000000"/>
        </w:rPr>
        <w:t>Furtsenberg</w:t>
      </w:r>
      <w:proofErr w:type="spellEnd"/>
      <w:r w:rsidRPr="00E7239F">
        <w:rPr>
          <w:rFonts w:ascii="Times" w:hAnsi="Times" w:cs="Times"/>
          <w:color w:val="000000"/>
        </w:rPr>
        <w:t xml:space="preserve">, 1989; Chase-Lansdale et al., 1995; Rodgers et al., 1997; </w:t>
      </w:r>
      <w:proofErr w:type="spellStart"/>
      <w:r w:rsidRPr="00E7239F">
        <w:rPr>
          <w:rFonts w:ascii="Times" w:hAnsi="Times" w:cs="Times"/>
          <w:color w:val="000000"/>
        </w:rPr>
        <w:t>Cherlin</w:t>
      </w:r>
      <w:proofErr w:type="spellEnd"/>
      <w:r w:rsidRPr="00E7239F">
        <w:rPr>
          <w:rFonts w:ascii="Times" w:hAnsi="Times" w:cs="Times"/>
          <w:color w:val="000000"/>
        </w:rPr>
        <w:t xml:space="preserve"> et al., 1998; Gilman et al., 2003). By classifying self-harm according to ICD coding and other information captured by general hospital and psychiatric hospital registers, we used a stringent case ascertainment procedure that may have ‘missed’ a sizeable proportion of self-harm occurrences in the population. We believe this is preferable to using a </w:t>
      </w:r>
    </w:p>
    <w:p w14:paraId="14FEDEBA" w14:textId="0C5F2DD3"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drawing>
          <wp:inline distT="0" distB="0" distL="0" distR="0" wp14:anchorId="63565117" wp14:editId="325F4823">
            <wp:extent cx="2253615" cy="1079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53615" cy="10795"/>
                    </a:xfrm>
                    <a:prstGeom prst="rect">
                      <a:avLst/>
                    </a:prstGeom>
                    <a:noFill/>
                    <a:ln>
                      <a:noFill/>
                    </a:ln>
                  </pic:spPr>
                </pic:pic>
              </a:graphicData>
            </a:graphic>
          </wp:inline>
        </w:drawing>
      </w:r>
    </w:p>
    <w:p w14:paraId="10B35333"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Child-parent separation trajectories </w:t>
      </w:r>
    </w:p>
    <w:p w14:paraId="4A8B85E5"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Child-parent separation status at birth Child-parent separation status at 15th </w:t>
      </w:r>
    </w:p>
    <w:p w14:paraId="659C8F23"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birthday Age at first child-parent separation Duration of child-parent separation in </w:t>
      </w:r>
    </w:p>
    <w:p w14:paraId="422C0F9A"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years Duration of familial cohesion in years Total no. of changes in child-parent </w:t>
      </w:r>
    </w:p>
    <w:p w14:paraId="2F5F5147"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separation status Array of specific child-parent separation </w:t>
      </w:r>
    </w:p>
    <w:p w14:paraId="76BDCB75"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trajectories </w:t>
      </w:r>
    </w:p>
    <w:p w14:paraId="6A335052"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Rank </w:t>
      </w:r>
    </w:p>
    <w:p w14:paraId="4D9D4DB4"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7 5 </w:t>
      </w:r>
    </w:p>
    <w:p w14:paraId="26BACC28"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1 2 </w:t>
      </w:r>
    </w:p>
    <w:p w14:paraId="6736E53C"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4 6 </w:t>
      </w:r>
    </w:p>
    <w:p w14:paraId="40050C4F"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3 </w:t>
      </w:r>
    </w:p>
    <w:p w14:paraId="1CB6008D"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a </w:t>
      </w:r>
    </w:p>
    <w:p w14:paraId="0D3FF080"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AIC Additional </w:t>
      </w:r>
      <w:proofErr w:type="spellStart"/>
      <w:r w:rsidRPr="00E7239F">
        <w:rPr>
          <w:rFonts w:ascii="Times" w:hAnsi="Times" w:cs="Times"/>
          <w:color w:val="000000"/>
        </w:rPr>
        <w:t>d.f.</w:t>
      </w:r>
      <w:proofErr w:type="spellEnd"/>
      <w:r w:rsidRPr="00E7239F">
        <w:rPr>
          <w:rFonts w:ascii="Times" w:hAnsi="Times" w:cs="Times"/>
          <w:color w:val="000000"/>
        </w:rPr>
        <w:t xml:space="preserve"> </w:t>
      </w:r>
    </w:p>
    <w:p w14:paraId="68FA18B8"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138014 3 132557 3 </w:t>
      </w:r>
    </w:p>
    <w:p w14:paraId="5D9329DA"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130273 48 130374 45 </w:t>
      </w:r>
    </w:p>
    <w:p w14:paraId="71B97652"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132238 15 132922 5 </w:t>
      </w:r>
    </w:p>
    <w:p w14:paraId="72FD17BB"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130740 24 </w:t>
      </w:r>
    </w:p>
    <w:p w14:paraId="72844928"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b </w:t>
      </w:r>
    </w:p>
    <w:p w14:paraId="57F776D8" w14:textId="2451B52B"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drawing>
          <wp:inline distT="0" distB="0" distL="0" distR="0" wp14:anchorId="0171D23A" wp14:editId="56AC1FED">
            <wp:extent cx="2253615" cy="1079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53615" cy="10795"/>
                    </a:xfrm>
                    <a:prstGeom prst="rect">
                      <a:avLst/>
                    </a:prstGeom>
                    <a:noFill/>
                    <a:ln>
                      <a:noFill/>
                    </a:ln>
                  </pic:spPr>
                </pic:pic>
              </a:graphicData>
            </a:graphic>
          </wp:inline>
        </w:drawing>
      </w:r>
      <w:r w:rsidRPr="00E7239F">
        <w:rPr>
          <w:rFonts w:ascii="Times" w:hAnsi="Times" w:cs="Times"/>
          <w:color w:val="000000"/>
        </w:rPr>
        <w:t xml:space="preserve"> </w:t>
      </w:r>
      <w:r w:rsidRPr="00E7239F">
        <w:rPr>
          <w:rFonts w:ascii="Times" w:hAnsi="Times" w:cs="Times"/>
          <w:color w:val="000000"/>
        </w:rPr>
        <w:drawing>
          <wp:inline distT="0" distB="0" distL="0" distR="0" wp14:anchorId="069AB0A6" wp14:editId="140F9D6B">
            <wp:extent cx="2253615" cy="1079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53615" cy="10795"/>
                    </a:xfrm>
                    <a:prstGeom prst="rect">
                      <a:avLst/>
                    </a:prstGeom>
                    <a:noFill/>
                    <a:ln>
                      <a:noFill/>
                    </a:ln>
                  </pic:spPr>
                </pic:pic>
              </a:graphicData>
            </a:graphic>
          </wp:inline>
        </w:drawing>
      </w:r>
    </w:p>
    <w:p w14:paraId="4B972B4A"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proofErr w:type="spellStart"/>
      <w:r w:rsidRPr="00E7239F">
        <w:rPr>
          <w:rFonts w:ascii="Times" w:hAnsi="Times" w:cs="Times"/>
          <w:color w:val="000000"/>
        </w:rPr>
        <w:t>a</w:t>
      </w:r>
      <w:proofErr w:type="spellEnd"/>
      <w:r w:rsidRPr="00E7239F">
        <w:rPr>
          <w:rFonts w:ascii="Times" w:hAnsi="Times" w:cs="Times"/>
          <w:color w:val="000000"/>
        </w:rPr>
        <w:t xml:space="preserve"> The AIC values are ranked smallest to largest; the smaller the AIC value, the better the model fit. </w:t>
      </w:r>
    </w:p>
    <w:p w14:paraId="0164822A"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b The AIC value for the ‘initial’ model fit included only the adjustment variables (with 232 degrees of freedom, </w:t>
      </w:r>
      <w:proofErr w:type="spellStart"/>
      <w:r w:rsidRPr="00E7239F">
        <w:rPr>
          <w:rFonts w:ascii="Times" w:hAnsi="Times" w:cs="Times"/>
          <w:color w:val="000000"/>
        </w:rPr>
        <w:t>d.f.</w:t>
      </w:r>
      <w:proofErr w:type="spellEnd"/>
      <w:r w:rsidRPr="00E7239F">
        <w:rPr>
          <w:rFonts w:ascii="Times" w:hAnsi="Times" w:cs="Times"/>
          <w:color w:val="000000"/>
        </w:rPr>
        <w:t xml:space="preserve">) and did not include a child-parent separation exposure variable. This column indicates the additional degrees of freedom in the model according to each of the seven exposure variables added separately. </w:t>
      </w:r>
    </w:p>
    <w:p w14:paraId="07E2354A"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their 15th birthday. Parental socioeconomic status in the year that cohort members reached their 15th birthdays attenuated the observed associations to some degree, although the patterns of risk across the multiple exposure categories examined remained essentially un- changed. There was no significant evidence for varying strength of association according to offspring gender in relation to child-parent separation. </w:t>
      </w:r>
    </w:p>
    <w:p w14:paraId="0C231BEC"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4.2. Comparison with existing evidence </w:t>
      </w:r>
    </w:p>
    <w:p w14:paraId="39F2E904"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The findings generated by this study cannot be compared directly with existing research evidence, because no previously published studies have examined this association according to this array of different child-parent separation scenarios and trajectories. Previous studies of this topic have examined offspring gender differences, but there is a lack of consistent evidence for variability in strength of association between male and female offspring (</w:t>
      </w:r>
      <w:proofErr w:type="spellStart"/>
      <w:r w:rsidRPr="00E7239F">
        <w:rPr>
          <w:rFonts w:ascii="Times" w:hAnsi="Times" w:cs="Times"/>
          <w:color w:val="000000"/>
        </w:rPr>
        <w:t>Lindström</w:t>
      </w:r>
      <w:proofErr w:type="spellEnd"/>
      <w:r w:rsidRPr="00E7239F">
        <w:rPr>
          <w:rFonts w:ascii="Times" w:hAnsi="Times" w:cs="Times"/>
          <w:color w:val="000000"/>
        </w:rPr>
        <w:t xml:space="preserve"> and </w:t>
      </w:r>
      <w:proofErr w:type="spellStart"/>
      <w:r w:rsidRPr="00E7239F">
        <w:rPr>
          <w:rFonts w:ascii="Times" w:hAnsi="Times" w:cs="Times"/>
          <w:color w:val="000000"/>
        </w:rPr>
        <w:t>Rosvall</w:t>
      </w:r>
      <w:proofErr w:type="spellEnd"/>
      <w:r w:rsidRPr="00E7239F">
        <w:rPr>
          <w:rFonts w:ascii="Times" w:hAnsi="Times" w:cs="Times"/>
          <w:color w:val="000000"/>
        </w:rPr>
        <w:t>, 2015). Thus, some authors have reported higher risk of suicidality in males exposed to parental divorce or child-parent separation (Donald et al., 2006; Fuller-Thomson and Dalton, 2011), whereas others have reported greater risk in females (</w:t>
      </w:r>
      <w:proofErr w:type="spellStart"/>
      <w:r w:rsidRPr="00E7239F">
        <w:rPr>
          <w:rFonts w:ascii="Times" w:hAnsi="Times" w:cs="Times"/>
          <w:color w:val="000000"/>
        </w:rPr>
        <w:t>Huurre</w:t>
      </w:r>
      <w:proofErr w:type="spellEnd"/>
      <w:r w:rsidRPr="00E7239F">
        <w:rPr>
          <w:rFonts w:ascii="Times" w:hAnsi="Times" w:cs="Times"/>
          <w:color w:val="000000"/>
        </w:rPr>
        <w:t xml:space="preserve"> et al., 2006; </w:t>
      </w:r>
      <w:proofErr w:type="spellStart"/>
      <w:r w:rsidRPr="00E7239F">
        <w:rPr>
          <w:rFonts w:ascii="Times" w:hAnsi="Times" w:cs="Times"/>
          <w:color w:val="000000"/>
        </w:rPr>
        <w:t>Lizardi</w:t>
      </w:r>
      <w:proofErr w:type="spellEnd"/>
      <w:r w:rsidRPr="00E7239F">
        <w:rPr>
          <w:rFonts w:ascii="Times" w:hAnsi="Times" w:cs="Times"/>
          <w:color w:val="000000"/>
        </w:rPr>
        <w:t xml:space="preserve"> et al., 2009). Our study was therefore unusual in finding no evidence for clear gender differences in the strength or direction of the observed associations. A further inconsistency in the existing literature concerns effect size variability according to age at which divorce or child-parent separation occurred. A large cross-sectional study from Sweden with a 52% response rate reported highest odds ratios for suicidal thoughts in individuals who experienced exposure at age 0–4 years (</w:t>
      </w:r>
      <w:proofErr w:type="spellStart"/>
      <w:r w:rsidRPr="00E7239F">
        <w:rPr>
          <w:rFonts w:ascii="Times" w:hAnsi="Times" w:cs="Times"/>
          <w:color w:val="000000"/>
        </w:rPr>
        <w:t>Lindström</w:t>
      </w:r>
      <w:proofErr w:type="spellEnd"/>
      <w:r w:rsidRPr="00E7239F">
        <w:rPr>
          <w:rFonts w:ascii="Times" w:hAnsi="Times" w:cs="Times"/>
          <w:color w:val="000000"/>
        </w:rPr>
        <w:t xml:space="preserve"> and </w:t>
      </w:r>
      <w:proofErr w:type="spellStart"/>
      <w:r w:rsidRPr="00E7239F">
        <w:rPr>
          <w:rFonts w:ascii="Times" w:hAnsi="Times" w:cs="Times"/>
          <w:color w:val="000000"/>
        </w:rPr>
        <w:t>Rosvall</w:t>
      </w:r>
      <w:proofErr w:type="spellEnd"/>
      <w:r w:rsidRPr="00E7239F">
        <w:rPr>
          <w:rFonts w:ascii="Times" w:hAnsi="Times" w:cs="Times"/>
          <w:color w:val="000000"/>
        </w:rPr>
        <w:t xml:space="preserve">, 2015), whereas an analysis of the longitudinal 1958 National Child Development Study (NCDS) from Great Britain reported </w:t>
      </w:r>
      <w:proofErr w:type="spellStart"/>
      <w:r w:rsidRPr="00E7239F">
        <w:rPr>
          <w:rFonts w:ascii="Times" w:hAnsi="Times" w:cs="Times"/>
          <w:color w:val="000000"/>
        </w:rPr>
        <w:t>evi</w:t>
      </w:r>
      <w:proofErr w:type="spellEnd"/>
      <w:r w:rsidRPr="00E7239F">
        <w:rPr>
          <w:rFonts w:ascii="Times" w:hAnsi="Times" w:cs="Times"/>
          <w:color w:val="000000"/>
        </w:rPr>
        <w:t xml:space="preserve">- </w:t>
      </w:r>
      <w:proofErr w:type="spellStart"/>
      <w:r w:rsidRPr="00E7239F">
        <w:rPr>
          <w:rFonts w:ascii="Times" w:hAnsi="Times" w:cs="Times"/>
          <w:color w:val="000000"/>
        </w:rPr>
        <w:t>dence</w:t>
      </w:r>
      <w:proofErr w:type="spellEnd"/>
      <w:r w:rsidRPr="00E7239F">
        <w:rPr>
          <w:rFonts w:ascii="Times" w:hAnsi="Times" w:cs="Times"/>
          <w:color w:val="000000"/>
        </w:rPr>
        <w:t xml:space="preserve"> that divorce at 11–16 years potentially had the most deleterious impact on subsequent mental health in young adults (Chase-Lansdale et al., 1995). Our findings concur with the small body of previous literature reporting that children exposed to multiple child-parent separation transitions tend to experience the worst outcomes (</w:t>
      </w:r>
      <w:proofErr w:type="spellStart"/>
      <w:r w:rsidRPr="00E7239F">
        <w:rPr>
          <w:rFonts w:ascii="Times" w:hAnsi="Times" w:cs="Times"/>
          <w:color w:val="000000"/>
        </w:rPr>
        <w:t>Capaldi</w:t>
      </w:r>
      <w:proofErr w:type="spellEnd"/>
      <w:r w:rsidRPr="00E7239F">
        <w:rPr>
          <w:rFonts w:ascii="Times" w:hAnsi="Times" w:cs="Times"/>
          <w:color w:val="000000"/>
        </w:rPr>
        <w:t xml:space="preserve"> and Patterson, 1991), and that the strength of association is larger in relation to separation from both parents as opposed to just one (Canetti et al., 2000). These particular family types are likely to have the greatest number of serious and intractable psychosocial difficulties. </w:t>
      </w:r>
    </w:p>
    <w:p w14:paraId="36E20A18"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4.3. Interpretation </w:t>
      </w:r>
    </w:p>
    <w:p w14:paraId="18AA0F64"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These findings and those generated from other studies of parental </w:t>
      </w:r>
    </w:p>
    <w:p w14:paraId="4F1D2C8B"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587 </w:t>
      </w:r>
    </w:p>
    <w:p w14:paraId="2D42B9B2"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A. </w:t>
      </w:r>
      <w:proofErr w:type="spellStart"/>
      <w:r w:rsidRPr="00E7239F">
        <w:rPr>
          <w:rFonts w:ascii="Times" w:hAnsi="Times" w:cs="Times"/>
          <w:color w:val="000000"/>
        </w:rPr>
        <w:t>Astrup</w:t>
      </w:r>
      <w:proofErr w:type="spellEnd"/>
      <w:r w:rsidRPr="00E7239F">
        <w:rPr>
          <w:rFonts w:ascii="Times" w:hAnsi="Times" w:cs="Times"/>
          <w:color w:val="000000"/>
        </w:rPr>
        <w:t xml:space="preserve"> et al. </w:t>
      </w:r>
    </w:p>
    <w:p w14:paraId="73DABC66"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i/>
          <w:iCs/>
          <w:color w:val="000000"/>
        </w:rPr>
        <w:t xml:space="preserve">Journal of Affective Disorders 208 (2017) 582–589 </w:t>
      </w:r>
    </w:p>
    <w:p w14:paraId="297A93FC"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less stringent classification that would inadvertently pick up numerous false positive cases. Thus, although some of the incidence rate ratios we reported are large, they are nonetheless conservative estimates of relative risk (Copeland et al., 1977). </w:t>
      </w:r>
    </w:p>
    <w:p w14:paraId="5E8BF8FF"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However, our study did have some important limitations. First and foremost, we had no information regarding the reason for and contextual circumstances of the changes in child-parent separation status. Second, the aggregated estimates generated will have masked heterogeneity of association, an issue that is common to many population-level epidemiological studies. Thus, we could not discern nested subgroups of individuals who were resilient to the apparent negative impact of child-parent separation, and those who may have benefitted from being separated from an abusive or substance-</w:t>
      </w:r>
      <w:proofErr w:type="spellStart"/>
      <w:r w:rsidRPr="00E7239F">
        <w:rPr>
          <w:rFonts w:ascii="Times" w:hAnsi="Times" w:cs="Times"/>
          <w:color w:val="000000"/>
        </w:rPr>
        <w:t>depen</w:t>
      </w:r>
      <w:proofErr w:type="spellEnd"/>
      <w:r w:rsidRPr="00E7239F">
        <w:rPr>
          <w:rFonts w:ascii="Times" w:hAnsi="Times" w:cs="Times"/>
          <w:color w:val="000000"/>
        </w:rPr>
        <w:t xml:space="preserve">- dent parent (Hetherington and Stanley-Hagan, 1999; </w:t>
      </w:r>
      <w:proofErr w:type="spellStart"/>
      <w:r w:rsidRPr="00E7239F">
        <w:rPr>
          <w:rFonts w:ascii="Times" w:hAnsi="Times" w:cs="Times"/>
          <w:color w:val="000000"/>
        </w:rPr>
        <w:t>Wolchik</w:t>
      </w:r>
      <w:proofErr w:type="spellEnd"/>
      <w:r w:rsidRPr="00E7239F">
        <w:rPr>
          <w:rFonts w:ascii="Times" w:hAnsi="Times" w:cs="Times"/>
          <w:color w:val="000000"/>
        </w:rPr>
        <w:t xml:space="preserve"> et al., 2009; Alonzo et al., 2014). Third, we cannot exclude the possibility that problematic </w:t>
      </w:r>
      <w:proofErr w:type="spellStart"/>
      <w:r w:rsidRPr="00E7239F">
        <w:rPr>
          <w:rFonts w:ascii="Times" w:hAnsi="Times" w:cs="Times"/>
          <w:color w:val="000000"/>
        </w:rPr>
        <w:t>behaviours</w:t>
      </w:r>
      <w:proofErr w:type="spellEnd"/>
      <w:r w:rsidRPr="00E7239F">
        <w:rPr>
          <w:rFonts w:ascii="Times" w:hAnsi="Times" w:cs="Times"/>
          <w:color w:val="000000"/>
        </w:rPr>
        <w:t xml:space="preserve"> in children could be the main precipitant of child-parent separation. This effect, which we had no means of assessing in the registry data, would have inflated the observed relative risk estimates due to reverse causality bias (</w:t>
      </w:r>
      <w:proofErr w:type="spellStart"/>
      <w:r w:rsidRPr="00E7239F">
        <w:rPr>
          <w:rFonts w:ascii="Times" w:hAnsi="Times" w:cs="Times"/>
          <w:color w:val="000000"/>
        </w:rPr>
        <w:t>Maselko</w:t>
      </w:r>
      <w:proofErr w:type="spellEnd"/>
      <w:r w:rsidRPr="00E7239F">
        <w:rPr>
          <w:rFonts w:ascii="Times" w:hAnsi="Times" w:cs="Times"/>
          <w:color w:val="000000"/>
        </w:rPr>
        <w:t xml:space="preserve"> et al., 2012). Specifically, this type of bias may partly explain the markedly elevated risk of self-harm linked with separation from both parents during early adolescence. </w:t>
      </w:r>
    </w:p>
    <w:p w14:paraId="3ADC2F4B"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Fourth, we did not adjust for confounding by parental mental illness. Attempting to account for these problems prior to separation would likely have been problematic using the national registry data. Many of the mental health problems that are precursors to familial fragmentation, including common conditions like stress, anxiety, depression and alcohol misuse (Kessler et al., 1998), would not result in secondary care treatment episodes and so they would not be identified in the Psychiatric Central Research Register. The more severe episodes are captured in this register, but many antecedent mental health problems would only be identified as having an onset after the separation event, with many of these parents presenting to services only after their marriage or partner relationship had broken down. Finally, with the registry data that were available to us we could not separately identify episodes of self-harm with and without suicidal intent. We examined self-harm using a previously developed </w:t>
      </w:r>
      <w:proofErr w:type="spellStart"/>
      <w:r w:rsidRPr="00E7239F">
        <w:rPr>
          <w:rFonts w:ascii="Times" w:hAnsi="Times" w:cs="Times"/>
          <w:color w:val="000000"/>
        </w:rPr>
        <w:t>classifica</w:t>
      </w:r>
      <w:proofErr w:type="spellEnd"/>
      <w:r w:rsidRPr="00E7239F">
        <w:rPr>
          <w:rFonts w:ascii="Times" w:hAnsi="Times" w:cs="Times"/>
          <w:color w:val="000000"/>
        </w:rPr>
        <w:t xml:space="preserve">- </w:t>
      </w:r>
      <w:proofErr w:type="spellStart"/>
      <w:r w:rsidRPr="00E7239F">
        <w:rPr>
          <w:rFonts w:ascii="Times" w:hAnsi="Times" w:cs="Times"/>
          <w:color w:val="000000"/>
        </w:rPr>
        <w:t>tion</w:t>
      </w:r>
      <w:proofErr w:type="spellEnd"/>
      <w:r w:rsidRPr="00E7239F">
        <w:rPr>
          <w:rFonts w:ascii="Times" w:hAnsi="Times" w:cs="Times"/>
          <w:color w:val="000000"/>
        </w:rPr>
        <w:t xml:space="preserve"> according to persons registered as having been admitted for treatment in a general hospital or a psychiatric unit following a self- harm episode. We can, however, be confident that the classification identified a larger proportion of genuine suicide attempts and a smaller proportion of non-suicidal self-injury cases than one would expect to observe in a sample of all cases of self-harm that occur in the general population. </w:t>
      </w:r>
    </w:p>
    <w:p w14:paraId="2C0F363A"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4.5. Implications and conclusions </w:t>
      </w:r>
    </w:p>
    <w:p w14:paraId="5EA00AB6"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This national cohort study adds weight to existing published evidence indicating that a troubled upbringing, as indicated by separation from one or both parents, may be linked with harmful long-term mental health problems through late adolescence, young adulthood and on to early middle age. The U.S. National Institutes of Health-funded ‘New Beginnings Program’ (https:// asupreventionresearch.com/) has been shown to be effective in ameliorating the potentially harmful impact of child-parent separation and divorce across multiple outcome domains (</w:t>
      </w:r>
      <w:proofErr w:type="spellStart"/>
      <w:r w:rsidRPr="00E7239F">
        <w:rPr>
          <w:rFonts w:ascii="Times" w:hAnsi="Times" w:cs="Times"/>
          <w:color w:val="000000"/>
        </w:rPr>
        <w:t>Wolchik</w:t>
      </w:r>
      <w:proofErr w:type="spellEnd"/>
      <w:r w:rsidRPr="00E7239F">
        <w:rPr>
          <w:rFonts w:ascii="Times" w:hAnsi="Times" w:cs="Times"/>
          <w:color w:val="000000"/>
        </w:rPr>
        <w:t xml:space="preserve"> et al., </w:t>
      </w:r>
      <w:proofErr w:type="gramStart"/>
      <w:r w:rsidRPr="00E7239F">
        <w:rPr>
          <w:rFonts w:ascii="Times" w:hAnsi="Times" w:cs="Times"/>
          <w:color w:val="000000"/>
        </w:rPr>
        <w:t>2009 ,</w:t>
      </w:r>
      <w:proofErr w:type="gramEnd"/>
      <w:r w:rsidRPr="00E7239F">
        <w:rPr>
          <w:rFonts w:ascii="Times" w:hAnsi="Times" w:cs="Times"/>
          <w:color w:val="000000"/>
        </w:rPr>
        <w:t xml:space="preserve"> 2013; </w:t>
      </w:r>
      <w:proofErr w:type="spellStart"/>
      <w:r w:rsidRPr="00E7239F">
        <w:rPr>
          <w:rFonts w:ascii="Times" w:hAnsi="Times" w:cs="Times"/>
          <w:color w:val="000000"/>
        </w:rPr>
        <w:t>Sigal</w:t>
      </w:r>
      <w:proofErr w:type="spellEnd"/>
      <w:r w:rsidRPr="00E7239F">
        <w:rPr>
          <w:rFonts w:ascii="Times" w:hAnsi="Times" w:cs="Times"/>
          <w:color w:val="000000"/>
        </w:rPr>
        <w:t xml:space="preserve"> et al., 2012; Herman et al., 2015). The novel findings generated from our cohort study suggest that future interventions could be tailored toward subgroups of exposed individuals who are psychologically distressed into adulthood, including those separated from both of their parents and particularly during early adolescence, those with little experience of familial cohesion throughout their upbringing, and those with the most complex trajectories who lived through many transitions of child- parent separation. Future research could usefully compare outcomes among younger or older unexposed siblings who did not experience </w:t>
      </w:r>
    </w:p>
    <w:p w14:paraId="3CC7D86F" w14:textId="77777777" w:rsidR="00E7239F" w:rsidRPr="00E7239F" w:rsidRDefault="00E7239F" w:rsidP="00E7239F">
      <w:pPr>
        <w:widowControl w:val="0"/>
        <w:autoSpaceDE w:val="0"/>
        <w:autoSpaceDN w:val="0"/>
        <w:adjustRightInd w:val="0"/>
        <w:spacing w:after="240" w:line="280" w:lineRule="atLeast"/>
        <w:rPr>
          <w:rFonts w:ascii="Times" w:hAnsi="Times" w:cs="Times"/>
          <w:color w:val="000000"/>
        </w:rPr>
      </w:pPr>
      <w:r w:rsidRPr="00E7239F">
        <w:rPr>
          <w:rFonts w:ascii="Times" w:hAnsi="Times" w:cs="Times"/>
          <w:color w:val="000000"/>
        </w:rPr>
        <w:t xml:space="preserve">child-parent separation. This approach would account for unmeasured genetic and familial environmental confounders and thereby enable stronger inferences to be drawn regarding potential for causality. On the basis of the findings we have reported, preventive efforts should not focus specifically on one gender over the other in meeting the complex needs of people with psychological problems who experienced separation from one or both parents whilst growing up. </w:t>
      </w:r>
    </w:p>
    <w:p w14:paraId="145384C1" w14:textId="77777777" w:rsidR="00EF4DFB" w:rsidRDefault="00EF4DFB" w:rsidP="00EF4DFB">
      <w:pPr>
        <w:widowControl w:val="0"/>
        <w:autoSpaceDE w:val="0"/>
        <w:autoSpaceDN w:val="0"/>
        <w:adjustRightInd w:val="0"/>
        <w:spacing w:after="240" w:line="280" w:lineRule="atLeast"/>
        <w:rPr>
          <w:rFonts w:ascii="Times" w:hAnsi="Times" w:cs="Times"/>
          <w:color w:val="000000"/>
        </w:rPr>
      </w:pPr>
    </w:p>
    <w:p w14:paraId="6318A831" w14:textId="77777777" w:rsidR="00EF4DFB" w:rsidRDefault="00EF4DFB" w:rsidP="00EF4DFB">
      <w:pPr>
        <w:widowControl w:val="0"/>
        <w:autoSpaceDE w:val="0"/>
        <w:autoSpaceDN w:val="0"/>
        <w:adjustRightInd w:val="0"/>
        <w:spacing w:line="280" w:lineRule="atLeast"/>
        <w:rPr>
          <w:rFonts w:ascii="Times" w:hAnsi="Times" w:cs="Times"/>
          <w:color w:val="000000"/>
        </w:rPr>
      </w:pPr>
      <w:r>
        <w:rPr>
          <w:rFonts w:ascii="Times" w:hAnsi="Times" w:cs="Times"/>
          <w:color w:val="000000"/>
        </w:rPr>
        <w:t xml:space="preserve">  </w:t>
      </w:r>
      <w:r>
        <w:rPr>
          <w:rFonts w:ascii="Times" w:hAnsi="Times" w:cs="Times"/>
          <w:noProof/>
          <w:color w:val="000000"/>
        </w:rPr>
        <w:drawing>
          <wp:inline distT="0" distB="0" distL="0" distR="0" wp14:anchorId="6BE97854" wp14:editId="76BA0EF2">
            <wp:extent cx="10795" cy="45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795" cy="457200"/>
                    </a:xfrm>
                    <a:prstGeom prst="rect">
                      <a:avLst/>
                    </a:prstGeom>
                    <a:noFill/>
                    <a:ln>
                      <a:noFill/>
                    </a:ln>
                  </pic:spPr>
                </pic:pic>
              </a:graphicData>
            </a:graphic>
          </wp:inline>
        </w:drawing>
      </w:r>
      <w:r>
        <w:rPr>
          <w:rFonts w:ascii="Times" w:hAnsi="Times" w:cs="Times"/>
          <w:color w:val="000000"/>
        </w:rPr>
        <w:t xml:space="preserve"> </w:t>
      </w:r>
    </w:p>
    <w:p w14:paraId="43F955F6" w14:textId="77777777" w:rsidR="00EF4DFB" w:rsidRPr="00EF4DFB" w:rsidRDefault="00EF4DFB">
      <w:pPr>
        <w:rPr>
          <w:color w:val="4472C4" w:themeColor="accent1"/>
          <w:sz w:val="22"/>
        </w:rPr>
      </w:pPr>
    </w:p>
    <w:sectPr w:rsidR="00EF4DFB" w:rsidRPr="00EF4DFB" w:rsidSect="00672E22">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imes">
    <w:panose1 w:val="00000500000000020000"/>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DFB"/>
    <w:rsid w:val="00095F86"/>
    <w:rsid w:val="003B6658"/>
    <w:rsid w:val="00924EBD"/>
    <w:rsid w:val="009C6B50"/>
    <w:rsid w:val="00B130EF"/>
    <w:rsid w:val="00B54E81"/>
    <w:rsid w:val="00B86475"/>
    <w:rsid w:val="00E7239F"/>
    <w:rsid w:val="00EF4DFB"/>
    <w:rsid w:val="00F61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44DF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image" Target="media/image5.png"/><Relationship Id="rId20" Type="http://schemas.openxmlformats.org/officeDocument/2006/relationships/image" Target="media/image16.png"/><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image" Target="media/image15.png"/><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45</Pages>
  <Words>19853</Words>
  <Characters>113166</Characters>
  <Application>Microsoft Macintosh Word</Application>
  <DocSecurity>0</DocSecurity>
  <Lines>943</Lines>
  <Paragraphs>265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132754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2019-12-11T06:37:00Z</dcterms:created>
  <dcterms:modified xsi:type="dcterms:W3CDTF">2019-12-11T07:10:00Z</dcterms:modified>
</cp:coreProperties>
</file>